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62" w:rsidRPr="00246F45" w:rsidRDefault="000E4962" w:rsidP="00ED1F2F">
      <w:pPr>
        <w:ind w:left="4395"/>
        <w:jc w:val="both"/>
        <w:rPr>
          <w:color w:val="000000" w:themeColor="text1"/>
          <w:sz w:val="28"/>
          <w:szCs w:val="28"/>
        </w:rPr>
      </w:pPr>
      <w:r w:rsidRPr="00246F45">
        <w:rPr>
          <w:color w:val="000000" w:themeColor="text1"/>
          <w:sz w:val="28"/>
          <w:szCs w:val="28"/>
        </w:rPr>
        <w:t>ЗАТВЕРДЖЕНО</w:t>
      </w:r>
    </w:p>
    <w:p w:rsidR="000E4962" w:rsidRPr="00246F45" w:rsidRDefault="000E4962" w:rsidP="00ED1F2F">
      <w:pPr>
        <w:ind w:left="4395"/>
        <w:jc w:val="both"/>
        <w:rPr>
          <w:color w:val="000000" w:themeColor="text1"/>
          <w:sz w:val="28"/>
          <w:szCs w:val="28"/>
        </w:rPr>
      </w:pPr>
      <w:r w:rsidRPr="00246F45">
        <w:rPr>
          <w:color w:val="000000" w:themeColor="text1"/>
          <w:sz w:val="28"/>
          <w:szCs w:val="28"/>
        </w:rPr>
        <w:t xml:space="preserve">Наказ Міністерства доходів і зборів України </w:t>
      </w:r>
    </w:p>
    <w:p w:rsidR="000E4962" w:rsidRPr="00246F45" w:rsidRDefault="0021324F" w:rsidP="00ED1F2F">
      <w:pPr>
        <w:ind w:left="4395"/>
        <w:jc w:val="both"/>
        <w:rPr>
          <w:color w:val="000000" w:themeColor="text1"/>
          <w:sz w:val="28"/>
          <w:szCs w:val="28"/>
        </w:rPr>
      </w:pPr>
      <w:r w:rsidRPr="00246F45">
        <w:rPr>
          <w:color w:val="000000" w:themeColor="text1"/>
          <w:sz w:val="28"/>
          <w:szCs w:val="28"/>
        </w:rPr>
        <w:t xml:space="preserve">19 липня </w:t>
      </w:r>
      <w:r w:rsidR="000E4962" w:rsidRPr="00246F45">
        <w:rPr>
          <w:color w:val="000000" w:themeColor="text1"/>
          <w:sz w:val="28"/>
          <w:szCs w:val="28"/>
        </w:rPr>
        <w:t>2013 року №</w:t>
      </w:r>
      <w:r w:rsidRPr="00246F45">
        <w:rPr>
          <w:color w:val="000000" w:themeColor="text1"/>
          <w:sz w:val="28"/>
          <w:szCs w:val="28"/>
        </w:rPr>
        <w:t xml:space="preserve"> 288</w:t>
      </w:r>
    </w:p>
    <w:p w:rsidR="000E4962" w:rsidRPr="00246F45" w:rsidRDefault="000E4962" w:rsidP="00ED1F2F">
      <w:pPr>
        <w:ind w:left="4395"/>
        <w:jc w:val="center"/>
        <w:rPr>
          <w:b/>
          <w:color w:val="000000" w:themeColor="text1"/>
          <w:sz w:val="28"/>
          <w:szCs w:val="28"/>
        </w:rPr>
      </w:pPr>
    </w:p>
    <w:p w:rsidR="000E4962" w:rsidRPr="00246F45" w:rsidRDefault="000E4962" w:rsidP="00ED1F2F">
      <w:pPr>
        <w:ind w:left="4395"/>
        <w:jc w:val="center"/>
        <w:rPr>
          <w:b/>
          <w:color w:val="000000" w:themeColor="text1"/>
          <w:sz w:val="28"/>
          <w:szCs w:val="28"/>
        </w:rPr>
      </w:pPr>
    </w:p>
    <w:p w:rsidR="00943525" w:rsidRDefault="00943525" w:rsidP="00ED1F2F">
      <w:pPr>
        <w:ind w:left="4395"/>
        <w:jc w:val="center"/>
        <w:rPr>
          <w:b/>
          <w:color w:val="000000" w:themeColor="text1"/>
          <w:sz w:val="28"/>
          <w:szCs w:val="28"/>
        </w:rPr>
      </w:pPr>
    </w:p>
    <w:p w:rsidR="00ED1F2F" w:rsidRDefault="00ED1F2F" w:rsidP="00ED1F2F">
      <w:pPr>
        <w:ind w:left="4395"/>
        <w:jc w:val="center"/>
        <w:rPr>
          <w:b/>
          <w:color w:val="000000" w:themeColor="text1"/>
          <w:sz w:val="28"/>
          <w:szCs w:val="28"/>
        </w:rPr>
      </w:pPr>
    </w:p>
    <w:p w:rsidR="00ED1F2F" w:rsidRDefault="00ED1F2F" w:rsidP="00ED1F2F">
      <w:pPr>
        <w:ind w:left="4395"/>
        <w:jc w:val="center"/>
        <w:rPr>
          <w:b/>
          <w:color w:val="000000" w:themeColor="text1"/>
          <w:sz w:val="28"/>
          <w:szCs w:val="28"/>
        </w:rPr>
      </w:pPr>
    </w:p>
    <w:p w:rsidR="00ED1F2F" w:rsidRPr="00246F45" w:rsidRDefault="00ED1F2F" w:rsidP="00ED1F2F">
      <w:pPr>
        <w:ind w:left="4395"/>
        <w:jc w:val="center"/>
        <w:rPr>
          <w:b/>
          <w:color w:val="000000" w:themeColor="text1"/>
          <w:sz w:val="28"/>
          <w:szCs w:val="28"/>
        </w:rPr>
      </w:pPr>
    </w:p>
    <w:p w:rsidR="00943525" w:rsidRPr="00246F45" w:rsidRDefault="00943525" w:rsidP="00ED1F2F">
      <w:pPr>
        <w:ind w:left="4395"/>
        <w:jc w:val="center"/>
        <w:rPr>
          <w:b/>
          <w:color w:val="000000" w:themeColor="text1"/>
          <w:sz w:val="28"/>
          <w:szCs w:val="28"/>
        </w:rPr>
      </w:pPr>
    </w:p>
    <w:p w:rsidR="00943525" w:rsidRPr="00246F45" w:rsidRDefault="00ED1F2F" w:rsidP="00ED1F2F">
      <w:pPr>
        <w:ind w:left="4395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Зареєстровано в Міністерстві юстиції України 09 серпня 2013 року за №1372/23904</w:t>
      </w:r>
    </w:p>
    <w:p w:rsidR="00943525" w:rsidRPr="00246F45" w:rsidRDefault="00943525" w:rsidP="00ED1F2F">
      <w:pPr>
        <w:ind w:left="4395"/>
        <w:jc w:val="center"/>
        <w:rPr>
          <w:b/>
          <w:color w:val="000000" w:themeColor="text1"/>
          <w:sz w:val="28"/>
          <w:szCs w:val="28"/>
        </w:rPr>
      </w:pPr>
    </w:p>
    <w:p w:rsidR="00943525" w:rsidRDefault="00943525" w:rsidP="00BA33B3">
      <w:pPr>
        <w:jc w:val="center"/>
        <w:rPr>
          <w:b/>
          <w:color w:val="000000" w:themeColor="text1"/>
          <w:sz w:val="28"/>
          <w:szCs w:val="28"/>
        </w:rPr>
      </w:pPr>
    </w:p>
    <w:p w:rsidR="00ED1F2F" w:rsidRDefault="00ED1F2F" w:rsidP="00BA33B3">
      <w:pPr>
        <w:jc w:val="center"/>
        <w:rPr>
          <w:b/>
          <w:color w:val="000000" w:themeColor="text1"/>
          <w:sz w:val="28"/>
          <w:szCs w:val="28"/>
        </w:rPr>
      </w:pPr>
    </w:p>
    <w:p w:rsidR="00ED1F2F" w:rsidRDefault="00ED1F2F" w:rsidP="00BA33B3">
      <w:pPr>
        <w:jc w:val="center"/>
        <w:rPr>
          <w:b/>
          <w:color w:val="000000" w:themeColor="text1"/>
          <w:sz w:val="28"/>
          <w:szCs w:val="28"/>
        </w:rPr>
      </w:pPr>
    </w:p>
    <w:p w:rsidR="00ED1F2F" w:rsidRPr="00246F45" w:rsidRDefault="00ED1F2F" w:rsidP="00BA33B3">
      <w:pPr>
        <w:jc w:val="center"/>
        <w:rPr>
          <w:b/>
          <w:color w:val="000000" w:themeColor="text1"/>
          <w:sz w:val="28"/>
          <w:szCs w:val="28"/>
        </w:rPr>
      </w:pPr>
    </w:p>
    <w:p w:rsidR="00ED1F2F" w:rsidRDefault="00ED1F2F" w:rsidP="00BA33B3">
      <w:pPr>
        <w:jc w:val="center"/>
        <w:rPr>
          <w:b/>
          <w:color w:val="000000" w:themeColor="text1"/>
          <w:sz w:val="28"/>
          <w:szCs w:val="28"/>
        </w:rPr>
      </w:pPr>
    </w:p>
    <w:p w:rsidR="000E4962" w:rsidRPr="00246F45" w:rsidRDefault="000E4962" w:rsidP="00BA33B3">
      <w:pPr>
        <w:jc w:val="center"/>
        <w:rPr>
          <w:b/>
          <w:color w:val="000000" w:themeColor="text1"/>
          <w:sz w:val="28"/>
          <w:szCs w:val="28"/>
        </w:rPr>
      </w:pPr>
      <w:r w:rsidRPr="00246F45">
        <w:rPr>
          <w:b/>
          <w:color w:val="000000" w:themeColor="text1"/>
          <w:sz w:val="28"/>
          <w:szCs w:val="28"/>
        </w:rPr>
        <w:t>ПОРЯДОК</w:t>
      </w:r>
    </w:p>
    <w:p w:rsidR="000E4962" w:rsidRPr="00246F45" w:rsidRDefault="00DB170F" w:rsidP="00BA33B3">
      <w:pPr>
        <w:jc w:val="center"/>
        <w:rPr>
          <w:b/>
          <w:color w:val="000000" w:themeColor="text1"/>
          <w:sz w:val="28"/>
          <w:szCs w:val="28"/>
        </w:rPr>
      </w:pPr>
      <w:bookmarkStart w:id="0" w:name="OLE_LINK2"/>
      <w:r w:rsidRPr="00246F45">
        <w:rPr>
          <w:b/>
          <w:color w:val="000000" w:themeColor="text1"/>
          <w:sz w:val="28"/>
          <w:szCs w:val="28"/>
        </w:rPr>
        <w:t>заповнення граф звітності</w:t>
      </w:r>
      <w:r w:rsidR="000E4962" w:rsidRPr="00246F45">
        <w:rPr>
          <w:b/>
          <w:color w:val="000000" w:themeColor="text1"/>
          <w:sz w:val="28"/>
          <w:szCs w:val="28"/>
        </w:rPr>
        <w:t xml:space="preserve"> з особливого податку на операції з відчуження цінних паперів та операцій з деривативами </w:t>
      </w:r>
      <w:bookmarkEnd w:id="0"/>
    </w:p>
    <w:p w:rsidR="00027383" w:rsidRPr="00246F45" w:rsidRDefault="00027383" w:rsidP="00BA33B3">
      <w:pPr>
        <w:ind w:firstLine="851"/>
        <w:jc w:val="both"/>
        <w:rPr>
          <w:color w:val="000000" w:themeColor="text1"/>
          <w:sz w:val="28"/>
          <w:szCs w:val="28"/>
        </w:rPr>
      </w:pPr>
    </w:p>
    <w:p w:rsidR="000E4962" w:rsidRPr="00246F45" w:rsidRDefault="000E4962" w:rsidP="00BA33B3">
      <w:pPr>
        <w:jc w:val="center"/>
        <w:rPr>
          <w:b/>
          <w:color w:val="000000" w:themeColor="text1"/>
          <w:sz w:val="28"/>
          <w:szCs w:val="28"/>
        </w:rPr>
      </w:pPr>
      <w:r w:rsidRPr="00246F45">
        <w:rPr>
          <w:b/>
          <w:color w:val="000000" w:themeColor="text1"/>
          <w:sz w:val="28"/>
          <w:szCs w:val="28"/>
        </w:rPr>
        <w:t xml:space="preserve">І. </w:t>
      </w:r>
      <w:r w:rsidR="00F8085B" w:rsidRPr="00246F45">
        <w:rPr>
          <w:b/>
          <w:color w:val="000000" w:themeColor="text1"/>
          <w:sz w:val="28"/>
          <w:szCs w:val="28"/>
        </w:rPr>
        <w:t>Порядок заповнення граф</w:t>
      </w:r>
      <w:r w:rsidR="00AB5D5F" w:rsidRPr="00246F45">
        <w:rPr>
          <w:b/>
          <w:color w:val="000000" w:themeColor="text1"/>
          <w:sz w:val="28"/>
          <w:szCs w:val="28"/>
        </w:rPr>
        <w:t xml:space="preserve"> Декларації з особливого податку на операції з відчуження цінних паперів та операцій з деривативами</w:t>
      </w:r>
    </w:p>
    <w:p w:rsidR="00EC3070" w:rsidRPr="00246F45" w:rsidRDefault="00EC3070" w:rsidP="00BA33B3">
      <w:pPr>
        <w:jc w:val="center"/>
        <w:rPr>
          <w:b/>
          <w:color w:val="000000" w:themeColor="text1"/>
          <w:sz w:val="28"/>
          <w:szCs w:val="28"/>
        </w:rPr>
      </w:pPr>
    </w:p>
    <w:p w:rsidR="00E91EBC" w:rsidRDefault="004F7678" w:rsidP="00F068A3">
      <w:pPr>
        <w:jc w:val="center"/>
        <w:rPr>
          <w:b/>
          <w:color w:val="000000" w:themeColor="text1"/>
          <w:sz w:val="28"/>
          <w:szCs w:val="28"/>
        </w:rPr>
      </w:pPr>
      <w:r w:rsidRPr="00246F45">
        <w:rPr>
          <w:b/>
          <w:color w:val="000000" w:themeColor="text1"/>
          <w:sz w:val="28"/>
          <w:szCs w:val="28"/>
        </w:rPr>
        <w:t>1</w:t>
      </w:r>
      <w:r w:rsidR="0076380C" w:rsidRPr="00246F45">
        <w:rPr>
          <w:b/>
          <w:color w:val="000000" w:themeColor="text1"/>
          <w:sz w:val="28"/>
          <w:szCs w:val="28"/>
        </w:rPr>
        <w:t xml:space="preserve">. </w:t>
      </w:r>
      <w:r w:rsidR="00B85E39" w:rsidRPr="00246F45">
        <w:rPr>
          <w:b/>
          <w:color w:val="000000" w:themeColor="text1"/>
          <w:sz w:val="28"/>
          <w:szCs w:val="28"/>
        </w:rPr>
        <w:t xml:space="preserve">Порядок заповнення показників у </w:t>
      </w:r>
      <w:r w:rsidR="003B2DF7" w:rsidRPr="00246F45">
        <w:rPr>
          <w:b/>
          <w:color w:val="000000" w:themeColor="text1"/>
          <w:sz w:val="28"/>
          <w:szCs w:val="28"/>
        </w:rPr>
        <w:t>Декларації з особливого</w:t>
      </w:r>
    </w:p>
    <w:p w:rsidR="00E91EBC" w:rsidRDefault="003B2DF7" w:rsidP="00F068A3">
      <w:pPr>
        <w:jc w:val="center"/>
        <w:rPr>
          <w:b/>
          <w:color w:val="000000" w:themeColor="text1"/>
          <w:sz w:val="28"/>
          <w:szCs w:val="28"/>
        </w:rPr>
      </w:pPr>
      <w:r w:rsidRPr="00246F45">
        <w:rPr>
          <w:b/>
          <w:color w:val="000000" w:themeColor="text1"/>
          <w:sz w:val="28"/>
          <w:szCs w:val="28"/>
        </w:rPr>
        <w:t xml:space="preserve"> податку на операції з відчуження цінних паперів </w:t>
      </w:r>
    </w:p>
    <w:p w:rsidR="00B85E39" w:rsidRPr="00246F45" w:rsidRDefault="003B2DF7" w:rsidP="00F068A3">
      <w:pPr>
        <w:jc w:val="center"/>
        <w:rPr>
          <w:b/>
          <w:color w:val="000000" w:themeColor="text1"/>
          <w:sz w:val="28"/>
          <w:szCs w:val="28"/>
        </w:rPr>
      </w:pPr>
      <w:r w:rsidRPr="00246F45">
        <w:rPr>
          <w:b/>
          <w:color w:val="000000" w:themeColor="text1"/>
          <w:sz w:val="28"/>
          <w:szCs w:val="28"/>
        </w:rPr>
        <w:t>та операцій з деривативами</w:t>
      </w:r>
    </w:p>
    <w:p w:rsidR="00B85E39" w:rsidRDefault="00B85E39" w:rsidP="00D33F60">
      <w:pPr>
        <w:ind w:left="851"/>
        <w:jc w:val="center"/>
        <w:rPr>
          <w:b/>
          <w:color w:val="000000" w:themeColor="text1"/>
          <w:sz w:val="28"/>
          <w:szCs w:val="28"/>
        </w:rPr>
      </w:pPr>
    </w:p>
    <w:p w:rsidR="00655A53" w:rsidRPr="008B04B5" w:rsidRDefault="00C705E7" w:rsidP="00655A53">
      <w:pPr>
        <w:ind w:firstLine="851"/>
        <w:jc w:val="both"/>
        <w:rPr>
          <w:color w:val="000000" w:themeColor="text1"/>
          <w:sz w:val="28"/>
          <w:szCs w:val="28"/>
          <w:highlight w:val="yellow"/>
        </w:rPr>
      </w:pPr>
      <w:r w:rsidRPr="003B2DF7">
        <w:rPr>
          <w:color w:val="000000" w:themeColor="text1"/>
          <w:sz w:val="28"/>
          <w:szCs w:val="28"/>
        </w:rPr>
        <w:t>1</w:t>
      </w:r>
      <w:r w:rsidR="00655A53" w:rsidRPr="003B2DF7">
        <w:rPr>
          <w:color w:val="000000" w:themeColor="text1"/>
          <w:sz w:val="28"/>
          <w:szCs w:val="28"/>
        </w:rPr>
        <w:t xml:space="preserve">. У </w:t>
      </w:r>
      <w:r w:rsidR="003B2DF7" w:rsidRPr="003B2DF7">
        <w:rPr>
          <w:color w:val="000000" w:themeColor="text1"/>
          <w:sz w:val="28"/>
          <w:szCs w:val="28"/>
        </w:rPr>
        <w:t>Декларації з особливого податку на операції з відчуження цінних паперів та операцій з деривативами (далі – Декларація)</w:t>
      </w:r>
      <w:r w:rsidR="00655A53" w:rsidRPr="003B2DF7">
        <w:rPr>
          <w:color w:val="000000" w:themeColor="text1"/>
          <w:sz w:val="28"/>
          <w:szCs w:val="28"/>
        </w:rPr>
        <w:t xml:space="preserve"> </w:t>
      </w:r>
      <w:r w:rsidR="00414E18">
        <w:rPr>
          <w:color w:val="000000" w:themeColor="text1"/>
          <w:sz w:val="28"/>
          <w:szCs w:val="28"/>
        </w:rPr>
        <w:t>зазначаються</w:t>
      </w:r>
      <w:r w:rsidR="00655A53" w:rsidRPr="003B2DF7">
        <w:rPr>
          <w:color w:val="000000" w:themeColor="text1"/>
          <w:sz w:val="28"/>
          <w:szCs w:val="28"/>
        </w:rPr>
        <w:t xml:space="preserve"> всі передбачені формою показники, а у разі їх відсутності графи не заповнюються.</w:t>
      </w:r>
    </w:p>
    <w:p w:rsidR="00655A53" w:rsidRPr="008B04B5" w:rsidRDefault="00655A53" w:rsidP="00655A53">
      <w:pPr>
        <w:ind w:firstLine="851"/>
        <w:jc w:val="both"/>
        <w:rPr>
          <w:color w:val="000000" w:themeColor="text1"/>
          <w:sz w:val="28"/>
          <w:szCs w:val="28"/>
          <w:highlight w:val="yellow"/>
        </w:rPr>
      </w:pPr>
    </w:p>
    <w:p w:rsidR="00655A53" w:rsidRPr="003B2DF7" w:rsidRDefault="003B2DF7" w:rsidP="00655A53">
      <w:pPr>
        <w:ind w:firstLine="851"/>
        <w:jc w:val="both"/>
        <w:rPr>
          <w:color w:val="000000" w:themeColor="text1"/>
          <w:sz w:val="28"/>
          <w:szCs w:val="28"/>
        </w:rPr>
      </w:pPr>
      <w:r w:rsidRPr="003B2DF7">
        <w:rPr>
          <w:color w:val="000000" w:themeColor="text1"/>
          <w:sz w:val="28"/>
          <w:szCs w:val="28"/>
        </w:rPr>
        <w:t>2</w:t>
      </w:r>
      <w:r w:rsidR="00655A53" w:rsidRPr="003B2DF7">
        <w:rPr>
          <w:color w:val="000000" w:themeColor="text1"/>
          <w:sz w:val="28"/>
          <w:szCs w:val="28"/>
        </w:rPr>
        <w:t>. Заповнення цифрових показників, зокрема день, місяць, квартал, рік, суми, здійснюється арабськими цифрами.</w:t>
      </w:r>
    </w:p>
    <w:p w:rsidR="00655A53" w:rsidRPr="008B04B5" w:rsidRDefault="00655A53" w:rsidP="00655A53">
      <w:pPr>
        <w:ind w:firstLine="851"/>
        <w:jc w:val="both"/>
        <w:rPr>
          <w:color w:val="000000" w:themeColor="text1"/>
          <w:sz w:val="28"/>
          <w:szCs w:val="28"/>
          <w:highlight w:val="yellow"/>
        </w:rPr>
      </w:pPr>
    </w:p>
    <w:p w:rsidR="00655A53" w:rsidRPr="003B2DF7" w:rsidRDefault="00CD2476" w:rsidP="00655A5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55A53" w:rsidRPr="003B2DF7">
        <w:rPr>
          <w:color w:val="000000" w:themeColor="text1"/>
          <w:sz w:val="28"/>
          <w:szCs w:val="28"/>
        </w:rPr>
        <w:t xml:space="preserve">. Додатки до </w:t>
      </w:r>
      <w:r w:rsidR="003B2DF7" w:rsidRPr="003B2DF7">
        <w:rPr>
          <w:color w:val="000000" w:themeColor="text1"/>
          <w:sz w:val="28"/>
          <w:szCs w:val="28"/>
        </w:rPr>
        <w:t>Д</w:t>
      </w:r>
      <w:r w:rsidR="00655A53" w:rsidRPr="003B2DF7">
        <w:rPr>
          <w:color w:val="000000" w:themeColor="text1"/>
          <w:sz w:val="28"/>
          <w:szCs w:val="28"/>
        </w:rPr>
        <w:t>еклараці</w:t>
      </w:r>
      <w:r w:rsidR="003B2DF7" w:rsidRPr="003B2DF7">
        <w:rPr>
          <w:color w:val="000000" w:themeColor="text1"/>
          <w:sz w:val="28"/>
          <w:szCs w:val="28"/>
        </w:rPr>
        <w:t>ї</w:t>
      </w:r>
      <w:r w:rsidR="00655A53" w:rsidRPr="003B2DF7">
        <w:rPr>
          <w:color w:val="000000" w:themeColor="text1"/>
          <w:sz w:val="28"/>
          <w:szCs w:val="28"/>
        </w:rPr>
        <w:t xml:space="preserve"> заповнюються за кожним договором/контрактом окремо у хронологічному порядку відповідно до дати укладання договору/контракту. </w:t>
      </w:r>
    </w:p>
    <w:p w:rsidR="003B2DF7" w:rsidRDefault="003B2DF7" w:rsidP="00655A53">
      <w:pPr>
        <w:ind w:firstLine="851"/>
        <w:jc w:val="both"/>
        <w:rPr>
          <w:color w:val="000000" w:themeColor="text1"/>
          <w:sz w:val="28"/>
          <w:szCs w:val="28"/>
          <w:highlight w:val="yellow"/>
        </w:rPr>
      </w:pPr>
    </w:p>
    <w:p w:rsidR="00655A53" w:rsidRDefault="00CD2476" w:rsidP="00655A5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55A53" w:rsidRPr="003B2DF7">
        <w:rPr>
          <w:color w:val="000000" w:themeColor="text1"/>
          <w:sz w:val="28"/>
          <w:szCs w:val="28"/>
        </w:rPr>
        <w:t>. Вибір типу поданого документа та наявність додатків зазначаються шляхом проставляння позначки.</w:t>
      </w:r>
    </w:p>
    <w:p w:rsidR="00A14C74" w:rsidRDefault="00A14C74" w:rsidP="00A14C7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 Суми операцій з відчуження цінних паперів та операцій з деривативами, у тому числі за ставками, розраховуються як підсумок за операціями у відповідному підрозділі додатків.</w:t>
      </w:r>
    </w:p>
    <w:p w:rsidR="00A14C74" w:rsidRPr="00246F45" w:rsidRDefault="00A14C74" w:rsidP="00655A53">
      <w:pPr>
        <w:ind w:firstLine="851"/>
        <w:jc w:val="both"/>
        <w:rPr>
          <w:color w:val="000000" w:themeColor="text1"/>
          <w:sz w:val="28"/>
          <w:szCs w:val="28"/>
        </w:rPr>
      </w:pPr>
    </w:p>
    <w:p w:rsidR="00B85E39" w:rsidRPr="00246F45" w:rsidRDefault="00A14C74" w:rsidP="00BA33B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12A00" w:rsidRPr="00246F45">
        <w:rPr>
          <w:color w:val="000000" w:themeColor="text1"/>
          <w:sz w:val="28"/>
          <w:szCs w:val="28"/>
        </w:rPr>
        <w:t xml:space="preserve">. </w:t>
      </w:r>
      <w:r w:rsidR="00B85E39" w:rsidRPr="00246F45">
        <w:rPr>
          <w:color w:val="000000" w:themeColor="text1"/>
          <w:sz w:val="28"/>
          <w:szCs w:val="28"/>
        </w:rPr>
        <w:t>Показник «Операції з відчуження цінних паперів» відображає суми операцій та особливого податку за біржовими та позабіржовими операціями з відчуження цінних паперів на звітну дату відповідно до додатків Д1 та Д2.</w:t>
      </w:r>
    </w:p>
    <w:p w:rsidR="00027383" w:rsidRPr="00246F45" w:rsidRDefault="00027383" w:rsidP="00BA33B3">
      <w:pPr>
        <w:ind w:firstLine="851"/>
        <w:jc w:val="both"/>
        <w:rPr>
          <w:color w:val="000000" w:themeColor="text1"/>
          <w:sz w:val="28"/>
          <w:szCs w:val="28"/>
        </w:rPr>
      </w:pPr>
    </w:p>
    <w:p w:rsidR="00B85E39" w:rsidRPr="00246F45" w:rsidRDefault="00A14C74" w:rsidP="00BA33B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612A00" w:rsidRPr="00246F45">
        <w:rPr>
          <w:color w:val="000000" w:themeColor="text1"/>
          <w:sz w:val="28"/>
          <w:szCs w:val="28"/>
        </w:rPr>
        <w:t xml:space="preserve">. </w:t>
      </w:r>
      <w:r w:rsidR="00B85E39" w:rsidRPr="00246F45">
        <w:rPr>
          <w:color w:val="000000" w:themeColor="text1"/>
          <w:sz w:val="28"/>
          <w:szCs w:val="28"/>
        </w:rPr>
        <w:t>Показник «Операції з деривативами» відображає суми операцій та особливого податку за біржовими та позабіржовими операціями з деривативами на звітну дату відповідно до додатків Д1 та Д2.</w:t>
      </w:r>
    </w:p>
    <w:p w:rsidR="00027383" w:rsidRPr="00246F45" w:rsidRDefault="00027383" w:rsidP="00BA33B3">
      <w:pPr>
        <w:ind w:firstLine="851"/>
        <w:jc w:val="both"/>
        <w:rPr>
          <w:color w:val="000000" w:themeColor="text1"/>
          <w:sz w:val="28"/>
          <w:szCs w:val="28"/>
        </w:rPr>
      </w:pPr>
    </w:p>
    <w:p w:rsidR="00B85E39" w:rsidRPr="00246F45" w:rsidRDefault="00A14C74" w:rsidP="00BA33B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612A00" w:rsidRPr="00246F45">
        <w:rPr>
          <w:color w:val="000000" w:themeColor="text1"/>
          <w:sz w:val="28"/>
          <w:szCs w:val="28"/>
        </w:rPr>
        <w:t xml:space="preserve">. </w:t>
      </w:r>
      <w:r w:rsidR="00B85E39" w:rsidRPr="00246F45">
        <w:rPr>
          <w:color w:val="000000" w:themeColor="text1"/>
          <w:sz w:val="28"/>
          <w:szCs w:val="28"/>
        </w:rPr>
        <w:t>Показник «Коригування операцій з відчуження цінних паперів та операцій з деривативами» відображає суми зменшення/збільшення за біржовими та позабіржовими операціями з відчуження цінних паперів та операці</w:t>
      </w:r>
      <w:r w:rsidR="00D403B9" w:rsidRPr="00246F45">
        <w:rPr>
          <w:color w:val="000000" w:themeColor="text1"/>
          <w:sz w:val="28"/>
          <w:szCs w:val="28"/>
        </w:rPr>
        <w:t>ями</w:t>
      </w:r>
      <w:r w:rsidR="00B85E39" w:rsidRPr="00246F45">
        <w:rPr>
          <w:color w:val="000000" w:themeColor="text1"/>
          <w:sz w:val="28"/>
          <w:szCs w:val="28"/>
        </w:rPr>
        <w:t xml:space="preserve"> з деривативами та суми зменшення/збільшення за ставками особливого податку, які визначаються на підставі різниці, яка розраховується шляхом віднімання від  уточнюючої суми (тип розрахунку 013 графи 2 додатків Д3, Д4) раніше задекларованої суми (тип розрахунку 011 (012) графи 2 додатків Д3, Д4).</w:t>
      </w:r>
    </w:p>
    <w:p w:rsidR="00027383" w:rsidRPr="00246F45" w:rsidRDefault="00027383" w:rsidP="00BA33B3">
      <w:pPr>
        <w:ind w:firstLine="851"/>
        <w:jc w:val="both"/>
        <w:rPr>
          <w:color w:val="000000" w:themeColor="text1"/>
          <w:sz w:val="28"/>
          <w:szCs w:val="28"/>
        </w:rPr>
      </w:pPr>
    </w:p>
    <w:p w:rsidR="00B85E39" w:rsidRPr="00246F45" w:rsidRDefault="00A14C74" w:rsidP="00BA33B3">
      <w:pPr>
        <w:ind w:firstLine="851"/>
        <w:jc w:val="both"/>
        <w:rPr>
          <w:rStyle w:val="rvts15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612A00" w:rsidRPr="00246F45">
        <w:rPr>
          <w:color w:val="000000" w:themeColor="text1"/>
          <w:sz w:val="28"/>
          <w:szCs w:val="28"/>
        </w:rPr>
        <w:t xml:space="preserve">. </w:t>
      </w:r>
      <w:r w:rsidR="00B85E39" w:rsidRPr="00246F45">
        <w:rPr>
          <w:color w:val="000000" w:themeColor="text1"/>
          <w:sz w:val="28"/>
          <w:szCs w:val="28"/>
        </w:rPr>
        <w:t>Показник</w:t>
      </w:r>
      <w:r w:rsidR="00EE10DB" w:rsidRPr="00246F45">
        <w:rPr>
          <w:color w:val="000000" w:themeColor="text1"/>
          <w:sz w:val="28"/>
          <w:szCs w:val="28"/>
        </w:rPr>
        <w:t>и</w:t>
      </w:r>
      <w:r w:rsidR="00B85E39" w:rsidRPr="00246F45">
        <w:rPr>
          <w:color w:val="000000" w:themeColor="text1"/>
          <w:sz w:val="28"/>
          <w:szCs w:val="28"/>
        </w:rPr>
        <w:t xml:space="preserve"> «Сума за операціями з підакцизними цінними паперами та деривативами</w:t>
      </w:r>
      <w:r w:rsidR="00EE10DB" w:rsidRPr="00246F45">
        <w:rPr>
          <w:color w:val="000000" w:themeColor="text1"/>
          <w:sz w:val="28"/>
          <w:szCs w:val="28"/>
        </w:rPr>
        <w:t>, які не підлягають оподаткуванню» та «Коригування сум за операціями з підакцизними цінними паперами та деривативами, які не підлягають оподаткуванню</w:t>
      </w:r>
      <w:r w:rsidR="00B85E39" w:rsidRPr="00246F45">
        <w:rPr>
          <w:color w:val="000000" w:themeColor="text1"/>
          <w:sz w:val="28"/>
          <w:szCs w:val="28"/>
        </w:rPr>
        <w:t xml:space="preserve">» відображає загальну суму операцій </w:t>
      </w:r>
      <w:r w:rsidR="005F61CC" w:rsidRPr="00246F45">
        <w:rPr>
          <w:color w:val="000000" w:themeColor="text1"/>
          <w:sz w:val="28"/>
          <w:szCs w:val="28"/>
        </w:rPr>
        <w:t xml:space="preserve">та корегування за операціями </w:t>
      </w:r>
      <w:r w:rsidR="00B85E39" w:rsidRPr="00246F45">
        <w:rPr>
          <w:color w:val="000000" w:themeColor="text1"/>
          <w:sz w:val="28"/>
          <w:szCs w:val="28"/>
        </w:rPr>
        <w:t xml:space="preserve">з відчуження цінних паперів та </w:t>
      </w:r>
      <w:r w:rsidR="00D403B9" w:rsidRPr="00246F45">
        <w:rPr>
          <w:color w:val="000000" w:themeColor="text1"/>
          <w:sz w:val="28"/>
          <w:szCs w:val="28"/>
        </w:rPr>
        <w:t xml:space="preserve">операціями з </w:t>
      </w:r>
      <w:r w:rsidR="00B85E39" w:rsidRPr="00246F45">
        <w:rPr>
          <w:color w:val="000000" w:themeColor="text1"/>
          <w:sz w:val="28"/>
          <w:szCs w:val="28"/>
        </w:rPr>
        <w:t>дериватив</w:t>
      </w:r>
      <w:r w:rsidR="00D403B9" w:rsidRPr="00246F45">
        <w:rPr>
          <w:color w:val="000000" w:themeColor="text1"/>
          <w:sz w:val="28"/>
          <w:szCs w:val="28"/>
        </w:rPr>
        <w:t>ами</w:t>
      </w:r>
      <w:r w:rsidR="00B85E39" w:rsidRPr="00246F45">
        <w:rPr>
          <w:color w:val="000000" w:themeColor="text1"/>
          <w:sz w:val="28"/>
          <w:szCs w:val="28"/>
        </w:rPr>
        <w:t xml:space="preserve">, які відповідно до </w:t>
      </w:r>
      <w:r w:rsidR="005F726B" w:rsidRPr="00246F45">
        <w:rPr>
          <w:color w:val="000000" w:themeColor="text1"/>
          <w:sz w:val="28"/>
          <w:szCs w:val="28"/>
        </w:rPr>
        <w:t>під</w:t>
      </w:r>
      <w:r w:rsidR="00B85E39" w:rsidRPr="00246F45">
        <w:rPr>
          <w:color w:val="000000" w:themeColor="text1"/>
          <w:sz w:val="28"/>
          <w:szCs w:val="28"/>
        </w:rPr>
        <w:t>пунктів 213.2.3-213.2.7</w:t>
      </w:r>
      <w:r w:rsidR="00B85E39" w:rsidRPr="00246F45">
        <w:rPr>
          <w:rStyle w:val="rvts15"/>
          <w:color w:val="000000" w:themeColor="text1"/>
          <w:sz w:val="28"/>
          <w:szCs w:val="28"/>
        </w:rPr>
        <w:t xml:space="preserve"> </w:t>
      </w:r>
      <w:r w:rsidR="005F726B" w:rsidRPr="00246F45">
        <w:rPr>
          <w:rStyle w:val="rvts15"/>
          <w:color w:val="000000" w:themeColor="text1"/>
          <w:sz w:val="28"/>
          <w:szCs w:val="28"/>
        </w:rPr>
        <w:t xml:space="preserve">пункту 213.2 </w:t>
      </w:r>
      <w:r w:rsidR="00B85E39" w:rsidRPr="00246F45">
        <w:rPr>
          <w:rStyle w:val="rvts15"/>
          <w:color w:val="000000" w:themeColor="text1"/>
          <w:sz w:val="28"/>
          <w:szCs w:val="28"/>
        </w:rPr>
        <w:t xml:space="preserve">статті 213 </w:t>
      </w:r>
      <w:r w:rsidR="00816814">
        <w:rPr>
          <w:rStyle w:val="rvts15"/>
          <w:color w:val="000000" w:themeColor="text1"/>
          <w:sz w:val="28"/>
          <w:szCs w:val="28"/>
        </w:rPr>
        <w:t xml:space="preserve">розділу </w:t>
      </w:r>
      <w:r w:rsidR="00816814">
        <w:rPr>
          <w:rStyle w:val="rvts15"/>
          <w:color w:val="000000" w:themeColor="text1"/>
          <w:sz w:val="28"/>
          <w:szCs w:val="28"/>
          <w:lang w:val="en-US"/>
        </w:rPr>
        <w:t>VI</w:t>
      </w:r>
      <w:r w:rsidR="00816814" w:rsidRPr="00816814">
        <w:rPr>
          <w:rStyle w:val="rvts15"/>
          <w:color w:val="000000" w:themeColor="text1"/>
          <w:sz w:val="28"/>
          <w:szCs w:val="28"/>
        </w:rPr>
        <w:t xml:space="preserve"> </w:t>
      </w:r>
      <w:r w:rsidR="00EE05F8" w:rsidRPr="00246F45">
        <w:rPr>
          <w:rStyle w:val="rvts15"/>
          <w:color w:val="000000" w:themeColor="text1"/>
          <w:sz w:val="28"/>
          <w:szCs w:val="28"/>
        </w:rPr>
        <w:t xml:space="preserve">Податкового кодексу України (далі – Кодекс) </w:t>
      </w:r>
      <w:r w:rsidR="00B85E39" w:rsidRPr="00246F45">
        <w:rPr>
          <w:rStyle w:val="rvts15"/>
          <w:color w:val="000000" w:themeColor="text1"/>
          <w:sz w:val="28"/>
          <w:szCs w:val="28"/>
        </w:rPr>
        <w:t>не підлягають оподаткуванню.</w:t>
      </w:r>
    </w:p>
    <w:p w:rsidR="00027383" w:rsidRPr="00246F45" w:rsidRDefault="00027383" w:rsidP="00BA33B3">
      <w:pPr>
        <w:ind w:firstLine="851"/>
        <w:jc w:val="both"/>
        <w:rPr>
          <w:color w:val="000000" w:themeColor="text1"/>
          <w:sz w:val="28"/>
          <w:szCs w:val="28"/>
        </w:rPr>
      </w:pPr>
    </w:p>
    <w:p w:rsidR="00B85E39" w:rsidRPr="00246F45" w:rsidRDefault="00A14C74" w:rsidP="00BA33B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612A00" w:rsidRPr="00246F45">
        <w:rPr>
          <w:color w:val="000000" w:themeColor="text1"/>
          <w:sz w:val="28"/>
          <w:szCs w:val="28"/>
        </w:rPr>
        <w:t>.</w:t>
      </w:r>
      <w:r w:rsidR="00B85E39" w:rsidRPr="00246F45">
        <w:rPr>
          <w:color w:val="000000" w:themeColor="text1"/>
          <w:sz w:val="28"/>
          <w:szCs w:val="28"/>
        </w:rPr>
        <w:t xml:space="preserve"> Показник «Сума, яка підлягає сплаті до бюджету за операціями» відображає загальну суму особливого податку, яка підлягає сплаті до бюджету, відповідні суми особливого податку </w:t>
      </w:r>
      <w:r w:rsidR="00863101" w:rsidRPr="00246F45">
        <w:rPr>
          <w:color w:val="000000" w:themeColor="text1"/>
          <w:sz w:val="28"/>
          <w:szCs w:val="28"/>
        </w:rPr>
        <w:t>н</w:t>
      </w:r>
      <w:r w:rsidR="00B85E39" w:rsidRPr="00246F45">
        <w:rPr>
          <w:color w:val="000000" w:themeColor="text1"/>
          <w:sz w:val="28"/>
          <w:szCs w:val="28"/>
        </w:rPr>
        <w:t>а операці</w:t>
      </w:r>
      <w:r w:rsidR="00863101" w:rsidRPr="00246F45">
        <w:rPr>
          <w:color w:val="000000" w:themeColor="text1"/>
          <w:sz w:val="28"/>
          <w:szCs w:val="28"/>
        </w:rPr>
        <w:t>ї</w:t>
      </w:r>
      <w:r w:rsidR="00B85E39" w:rsidRPr="00246F45">
        <w:rPr>
          <w:color w:val="000000" w:themeColor="text1"/>
          <w:sz w:val="28"/>
          <w:szCs w:val="28"/>
        </w:rPr>
        <w:t xml:space="preserve"> з відчуження цінних паперів та операці</w:t>
      </w:r>
      <w:r w:rsidR="00863101" w:rsidRPr="00246F45">
        <w:rPr>
          <w:color w:val="000000" w:themeColor="text1"/>
          <w:sz w:val="28"/>
          <w:szCs w:val="28"/>
        </w:rPr>
        <w:t>й</w:t>
      </w:r>
      <w:r w:rsidR="00B85E39" w:rsidRPr="00246F45">
        <w:rPr>
          <w:color w:val="000000" w:themeColor="text1"/>
          <w:sz w:val="28"/>
          <w:szCs w:val="28"/>
        </w:rPr>
        <w:t xml:space="preserve"> з деривативами окремо</w:t>
      </w:r>
      <w:r w:rsidR="009B6A6F">
        <w:rPr>
          <w:color w:val="000000" w:themeColor="text1"/>
          <w:sz w:val="28"/>
          <w:szCs w:val="28"/>
        </w:rPr>
        <w:t>,</w:t>
      </w:r>
      <w:r w:rsidR="00B85E39" w:rsidRPr="00246F45">
        <w:rPr>
          <w:color w:val="000000" w:themeColor="text1"/>
          <w:sz w:val="28"/>
          <w:szCs w:val="28"/>
        </w:rPr>
        <w:t xml:space="preserve"> з урахуванням сум коригування.</w:t>
      </w:r>
    </w:p>
    <w:p w:rsidR="00EC3070" w:rsidRPr="00246F45" w:rsidRDefault="00EC3070" w:rsidP="00BA33B3">
      <w:pPr>
        <w:ind w:firstLine="851"/>
        <w:jc w:val="both"/>
        <w:rPr>
          <w:color w:val="000000" w:themeColor="text1"/>
          <w:sz w:val="28"/>
          <w:szCs w:val="28"/>
        </w:rPr>
      </w:pPr>
    </w:p>
    <w:p w:rsidR="00246F45" w:rsidRDefault="004F7678" w:rsidP="00BA33B3">
      <w:pPr>
        <w:jc w:val="center"/>
        <w:rPr>
          <w:b/>
          <w:color w:val="000000" w:themeColor="text1"/>
          <w:sz w:val="28"/>
          <w:szCs w:val="28"/>
        </w:rPr>
      </w:pPr>
      <w:r w:rsidRPr="00246F45">
        <w:rPr>
          <w:b/>
          <w:color w:val="000000" w:themeColor="text1"/>
          <w:sz w:val="28"/>
          <w:szCs w:val="28"/>
        </w:rPr>
        <w:t>2</w:t>
      </w:r>
      <w:r w:rsidR="00256585" w:rsidRPr="00246F45">
        <w:rPr>
          <w:b/>
          <w:color w:val="000000" w:themeColor="text1"/>
          <w:sz w:val="28"/>
          <w:szCs w:val="28"/>
        </w:rPr>
        <w:t>. Порядок заповнення додатк</w:t>
      </w:r>
      <w:r w:rsidR="000E531E" w:rsidRPr="00246F45">
        <w:rPr>
          <w:b/>
          <w:color w:val="000000" w:themeColor="text1"/>
          <w:sz w:val="28"/>
          <w:szCs w:val="28"/>
        </w:rPr>
        <w:t>а</w:t>
      </w:r>
      <w:r w:rsidR="00256585" w:rsidRPr="00246F45">
        <w:rPr>
          <w:b/>
          <w:color w:val="000000" w:themeColor="text1"/>
          <w:sz w:val="28"/>
          <w:szCs w:val="28"/>
        </w:rPr>
        <w:t xml:space="preserve"> Д1 «Розрахунок суми особливого </w:t>
      </w:r>
    </w:p>
    <w:p w:rsidR="00246F45" w:rsidRDefault="00256585" w:rsidP="00BA33B3">
      <w:pPr>
        <w:jc w:val="center"/>
        <w:rPr>
          <w:b/>
          <w:color w:val="000000" w:themeColor="text1"/>
          <w:sz w:val="28"/>
          <w:szCs w:val="28"/>
        </w:rPr>
      </w:pPr>
      <w:r w:rsidRPr="00246F45">
        <w:rPr>
          <w:b/>
          <w:color w:val="000000" w:themeColor="text1"/>
          <w:sz w:val="28"/>
          <w:szCs w:val="28"/>
        </w:rPr>
        <w:t xml:space="preserve">податку за біржовими операціями з відчуження цінних паперів </w:t>
      </w:r>
    </w:p>
    <w:p w:rsidR="00256585" w:rsidRPr="00246F45" w:rsidRDefault="00256585" w:rsidP="00BA33B3">
      <w:pPr>
        <w:jc w:val="center"/>
        <w:rPr>
          <w:b/>
          <w:color w:val="000000" w:themeColor="text1"/>
          <w:sz w:val="28"/>
          <w:szCs w:val="28"/>
        </w:rPr>
      </w:pPr>
      <w:r w:rsidRPr="00246F45">
        <w:rPr>
          <w:b/>
          <w:color w:val="000000" w:themeColor="text1"/>
          <w:sz w:val="28"/>
          <w:szCs w:val="28"/>
        </w:rPr>
        <w:t>та операцій з деривативами»</w:t>
      </w:r>
    </w:p>
    <w:p w:rsidR="00256585" w:rsidRPr="00246F45" w:rsidRDefault="00256585" w:rsidP="00BA33B3">
      <w:pPr>
        <w:ind w:left="851"/>
        <w:jc w:val="both"/>
        <w:rPr>
          <w:color w:val="000000" w:themeColor="text1"/>
          <w:sz w:val="28"/>
          <w:szCs w:val="28"/>
        </w:rPr>
      </w:pPr>
    </w:p>
    <w:p w:rsidR="00256585" w:rsidRPr="00246F45" w:rsidRDefault="000A4DE9" w:rsidP="00BA33B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256585" w:rsidRPr="00246F45">
        <w:rPr>
          <w:color w:val="000000" w:themeColor="text1"/>
          <w:sz w:val="28"/>
          <w:szCs w:val="28"/>
        </w:rPr>
        <w:t>У розділі 1 додатк</w:t>
      </w:r>
      <w:r w:rsidR="00833194">
        <w:rPr>
          <w:color w:val="000000" w:themeColor="text1"/>
          <w:sz w:val="28"/>
          <w:szCs w:val="28"/>
        </w:rPr>
        <w:t>а</w:t>
      </w:r>
      <w:r w:rsidR="00256585" w:rsidRPr="00246F45">
        <w:rPr>
          <w:color w:val="000000" w:themeColor="text1"/>
          <w:sz w:val="28"/>
          <w:szCs w:val="28"/>
        </w:rPr>
        <w:t xml:space="preserve"> «Операції на користь платника» </w:t>
      </w:r>
      <w:r w:rsidR="009937DA">
        <w:rPr>
          <w:color w:val="000000" w:themeColor="text1"/>
          <w:sz w:val="28"/>
          <w:szCs w:val="28"/>
        </w:rPr>
        <w:t>зазначаються</w:t>
      </w:r>
      <w:r w:rsidR="00256585" w:rsidRPr="00246F45">
        <w:rPr>
          <w:color w:val="000000" w:themeColor="text1"/>
          <w:sz w:val="28"/>
          <w:szCs w:val="28"/>
        </w:rPr>
        <w:t xml:space="preserve"> операції з відчуження цінних паперів та операції з деривативами, що проводяться платником </w:t>
      </w:r>
      <w:r w:rsidR="00256585" w:rsidRPr="00246F45">
        <w:rPr>
          <w:rStyle w:val="rvts0"/>
          <w:color w:val="000000" w:themeColor="text1"/>
          <w:sz w:val="28"/>
          <w:szCs w:val="28"/>
        </w:rPr>
        <w:t>від свого імені та за свій рахунок.</w:t>
      </w:r>
    </w:p>
    <w:p w:rsidR="000A4DE9" w:rsidRDefault="000A4DE9" w:rsidP="00BA33B3">
      <w:pPr>
        <w:ind w:firstLine="720"/>
        <w:jc w:val="both"/>
        <w:rPr>
          <w:color w:val="000000" w:themeColor="text1"/>
          <w:sz w:val="28"/>
          <w:szCs w:val="28"/>
        </w:rPr>
      </w:pPr>
    </w:p>
    <w:p w:rsidR="00256585" w:rsidRPr="00246F45" w:rsidRDefault="000A4DE9" w:rsidP="00BA33B3">
      <w:pPr>
        <w:ind w:firstLine="720"/>
        <w:jc w:val="both"/>
        <w:rPr>
          <w:rStyle w:val="rvts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256585" w:rsidRPr="00246F45">
        <w:rPr>
          <w:color w:val="000000" w:themeColor="text1"/>
          <w:sz w:val="28"/>
          <w:szCs w:val="28"/>
        </w:rPr>
        <w:t>У розділі 2 додатк</w:t>
      </w:r>
      <w:r w:rsidR="00833194">
        <w:rPr>
          <w:color w:val="000000" w:themeColor="text1"/>
          <w:sz w:val="28"/>
          <w:szCs w:val="28"/>
        </w:rPr>
        <w:t>а</w:t>
      </w:r>
      <w:r w:rsidR="00256585" w:rsidRPr="00246F45">
        <w:rPr>
          <w:color w:val="000000" w:themeColor="text1"/>
          <w:sz w:val="28"/>
          <w:szCs w:val="28"/>
        </w:rPr>
        <w:t xml:space="preserve"> «Операції платника на підставі договору» </w:t>
      </w:r>
      <w:r w:rsidR="00D878BB">
        <w:rPr>
          <w:color w:val="000000" w:themeColor="text1"/>
          <w:sz w:val="28"/>
          <w:szCs w:val="28"/>
        </w:rPr>
        <w:t>зазначаються</w:t>
      </w:r>
      <w:r w:rsidR="00D878BB" w:rsidRPr="00246F45">
        <w:rPr>
          <w:color w:val="000000" w:themeColor="text1"/>
          <w:sz w:val="28"/>
          <w:szCs w:val="28"/>
        </w:rPr>
        <w:t xml:space="preserve"> </w:t>
      </w:r>
      <w:r w:rsidR="00256585" w:rsidRPr="00246F45">
        <w:rPr>
          <w:color w:val="000000" w:themeColor="text1"/>
          <w:sz w:val="28"/>
          <w:szCs w:val="28"/>
        </w:rPr>
        <w:t>операції з відчуження цінних паперів та операції з деривативами, що проводяться платником в</w:t>
      </w:r>
      <w:r w:rsidR="00256585" w:rsidRPr="00246F45">
        <w:rPr>
          <w:rStyle w:val="rvts0"/>
          <w:color w:val="000000" w:themeColor="text1"/>
          <w:sz w:val="28"/>
          <w:szCs w:val="28"/>
        </w:rPr>
        <w:t>ід імені (від свого імені) та за рахунок клієнта.</w:t>
      </w:r>
    </w:p>
    <w:p w:rsidR="00256585" w:rsidRPr="00246F45" w:rsidRDefault="000A4DE9" w:rsidP="00BA33B3">
      <w:pPr>
        <w:pStyle w:val="rvps14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3. </w:t>
      </w:r>
      <w:r w:rsidR="00256585" w:rsidRPr="00246F45">
        <w:rPr>
          <w:color w:val="000000" w:themeColor="text1"/>
          <w:sz w:val="28"/>
          <w:szCs w:val="28"/>
          <w:lang w:val="uk-UA"/>
        </w:rPr>
        <w:t>У графі 2 «Вид цінного папер</w:t>
      </w:r>
      <w:r w:rsidR="00C11C61" w:rsidRPr="00246F45">
        <w:rPr>
          <w:color w:val="000000" w:themeColor="text1"/>
          <w:sz w:val="28"/>
          <w:szCs w:val="28"/>
          <w:lang w:val="uk-UA"/>
        </w:rPr>
        <w:t>а</w:t>
      </w:r>
      <w:r w:rsidR="00256585" w:rsidRPr="00246F45">
        <w:rPr>
          <w:color w:val="000000" w:themeColor="text1"/>
          <w:sz w:val="28"/>
          <w:szCs w:val="28"/>
          <w:lang w:val="uk-UA"/>
        </w:rPr>
        <w:t>/деривативу» зазначається код показника цінного папер</w:t>
      </w:r>
      <w:r w:rsidR="00F9582C" w:rsidRPr="00246F45">
        <w:rPr>
          <w:color w:val="000000" w:themeColor="text1"/>
          <w:sz w:val="28"/>
          <w:szCs w:val="28"/>
          <w:lang w:val="uk-UA"/>
        </w:rPr>
        <w:t>а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/деривативу відповідно до </w:t>
      </w:r>
      <w:r w:rsidR="00256585" w:rsidRPr="00246F45">
        <w:rPr>
          <w:rStyle w:val="rvts0"/>
          <w:color w:val="000000" w:themeColor="text1"/>
          <w:sz w:val="28"/>
          <w:szCs w:val="28"/>
          <w:lang w:val="uk-UA"/>
        </w:rPr>
        <w:t xml:space="preserve">довідника </w:t>
      </w:r>
      <w:r w:rsidR="006C7583">
        <w:rPr>
          <w:rStyle w:val="rvts0"/>
          <w:color w:val="000000" w:themeColor="text1"/>
          <w:sz w:val="28"/>
          <w:szCs w:val="28"/>
          <w:lang w:val="uk-UA"/>
        </w:rPr>
        <w:t xml:space="preserve">7 </w:t>
      </w:r>
      <w:r w:rsidR="00256585" w:rsidRPr="00246F45">
        <w:rPr>
          <w:rStyle w:val="rvts0"/>
          <w:color w:val="000000" w:themeColor="text1"/>
          <w:sz w:val="28"/>
          <w:szCs w:val="28"/>
          <w:lang w:val="uk-UA"/>
        </w:rPr>
        <w:t xml:space="preserve">«Класифікація фінансових інструментів» </w:t>
      </w:r>
      <w:r w:rsidR="00256585" w:rsidRPr="00246F45">
        <w:rPr>
          <w:rStyle w:val="rvts23"/>
          <w:color w:val="000000" w:themeColor="text1"/>
          <w:sz w:val="28"/>
          <w:szCs w:val="28"/>
          <w:lang w:val="uk-UA"/>
        </w:rPr>
        <w:t xml:space="preserve">Системи довідників та класифікаторів Національної  комісії з цінних паперів та фондового ринку, затвердженої рішенням Національної комісії з цінних паперів та фондового ринку від </w:t>
      </w:r>
      <w:r w:rsidR="00256585" w:rsidRPr="00246F45">
        <w:rPr>
          <w:rStyle w:val="rvts9"/>
          <w:color w:val="000000" w:themeColor="text1"/>
          <w:sz w:val="28"/>
          <w:szCs w:val="28"/>
          <w:lang w:val="uk-UA"/>
        </w:rPr>
        <w:t>08</w:t>
      </w:r>
      <w:r w:rsidR="00F9582C" w:rsidRPr="00246F45">
        <w:rPr>
          <w:rStyle w:val="rvts9"/>
          <w:color w:val="000000" w:themeColor="text1"/>
          <w:sz w:val="28"/>
          <w:szCs w:val="28"/>
          <w:lang w:val="uk-UA"/>
        </w:rPr>
        <w:t xml:space="preserve"> травня </w:t>
      </w:r>
      <w:r w:rsidR="00256585" w:rsidRPr="00246F45">
        <w:rPr>
          <w:rStyle w:val="rvts9"/>
          <w:color w:val="000000" w:themeColor="text1"/>
          <w:sz w:val="28"/>
          <w:szCs w:val="28"/>
          <w:lang w:val="uk-UA"/>
        </w:rPr>
        <w:t>2012</w:t>
      </w:r>
      <w:r w:rsidR="00F9582C" w:rsidRPr="00246F45">
        <w:rPr>
          <w:rStyle w:val="rvts9"/>
          <w:color w:val="000000" w:themeColor="text1"/>
          <w:sz w:val="28"/>
          <w:szCs w:val="28"/>
          <w:lang w:val="uk-UA"/>
        </w:rPr>
        <w:t xml:space="preserve"> року</w:t>
      </w:r>
      <w:r w:rsidR="00256585" w:rsidRPr="00246F45">
        <w:rPr>
          <w:rStyle w:val="rvts9"/>
          <w:color w:val="000000" w:themeColor="text1"/>
          <w:sz w:val="28"/>
          <w:szCs w:val="28"/>
          <w:lang w:val="uk-UA"/>
        </w:rPr>
        <w:t> № 646</w:t>
      </w:r>
      <w:r w:rsidR="00ED60F9">
        <w:rPr>
          <w:rStyle w:val="rvts9"/>
          <w:color w:val="000000" w:themeColor="text1"/>
          <w:sz w:val="28"/>
          <w:szCs w:val="28"/>
          <w:lang w:val="uk-UA"/>
        </w:rPr>
        <w:t xml:space="preserve">, зареєстрованої в </w:t>
      </w:r>
      <w:r w:rsidR="00256585" w:rsidRPr="00246F45">
        <w:rPr>
          <w:rStyle w:val="rvts9"/>
          <w:color w:val="000000" w:themeColor="text1"/>
          <w:sz w:val="28"/>
          <w:szCs w:val="28"/>
          <w:lang w:val="uk-UA"/>
        </w:rPr>
        <w:t>Міністерстві</w:t>
      </w:r>
      <w:r w:rsidR="00ED60F9">
        <w:rPr>
          <w:rStyle w:val="rvts9"/>
          <w:color w:val="000000" w:themeColor="text1"/>
          <w:sz w:val="28"/>
          <w:szCs w:val="28"/>
          <w:lang w:val="uk-UA"/>
        </w:rPr>
        <w:t xml:space="preserve"> </w:t>
      </w:r>
      <w:r w:rsidR="00256585" w:rsidRPr="00246F45">
        <w:rPr>
          <w:rStyle w:val="rvts9"/>
          <w:color w:val="000000" w:themeColor="text1"/>
          <w:sz w:val="28"/>
          <w:szCs w:val="28"/>
          <w:lang w:val="uk-UA"/>
        </w:rPr>
        <w:t>юстиції України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</w:t>
      </w:r>
      <w:r w:rsidR="00256585" w:rsidRPr="00246F45">
        <w:rPr>
          <w:rStyle w:val="rvts9"/>
          <w:color w:val="000000" w:themeColor="text1"/>
          <w:sz w:val="28"/>
          <w:szCs w:val="28"/>
          <w:lang w:val="uk-UA"/>
        </w:rPr>
        <w:t>25</w:t>
      </w:r>
      <w:r w:rsidR="00F9582C" w:rsidRPr="00246F45">
        <w:rPr>
          <w:rStyle w:val="rvts9"/>
          <w:color w:val="000000" w:themeColor="text1"/>
          <w:sz w:val="28"/>
          <w:szCs w:val="28"/>
          <w:lang w:val="uk-UA"/>
        </w:rPr>
        <w:t xml:space="preserve"> травня </w:t>
      </w:r>
      <w:r w:rsidR="00256585" w:rsidRPr="00246F45">
        <w:rPr>
          <w:rStyle w:val="rvts9"/>
          <w:color w:val="000000" w:themeColor="text1"/>
          <w:sz w:val="28"/>
          <w:szCs w:val="28"/>
          <w:lang w:val="uk-UA"/>
        </w:rPr>
        <w:t xml:space="preserve">2012 </w:t>
      </w:r>
      <w:r w:rsidR="00F9582C" w:rsidRPr="00246F45">
        <w:rPr>
          <w:rStyle w:val="rvts9"/>
          <w:color w:val="000000" w:themeColor="text1"/>
          <w:sz w:val="28"/>
          <w:szCs w:val="28"/>
          <w:lang w:val="uk-UA"/>
        </w:rPr>
        <w:t xml:space="preserve">року </w:t>
      </w:r>
      <w:r w:rsidR="00256585" w:rsidRPr="00246F45">
        <w:rPr>
          <w:rStyle w:val="rvts9"/>
          <w:color w:val="000000" w:themeColor="text1"/>
          <w:sz w:val="28"/>
          <w:szCs w:val="28"/>
          <w:lang w:val="uk-UA"/>
        </w:rPr>
        <w:t xml:space="preserve">за </w:t>
      </w:r>
      <w:r w:rsidR="00241FCF">
        <w:rPr>
          <w:rStyle w:val="rvts9"/>
          <w:color w:val="000000" w:themeColor="text1"/>
          <w:sz w:val="28"/>
          <w:szCs w:val="28"/>
          <w:lang w:val="uk-UA"/>
        </w:rPr>
        <w:t xml:space="preserve">                      </w:t>
      </w:r>
      <w:r w:rsidR="00256585" w:rsidRPr="00246F45">
        <w:rPr>
          <w:rStyle w:val="rvts9"/>
          <w:color w:val="000000" w:themeColor="text1"/>
          <w:sz w:val="28"/>
          <w:szCs w:val="28"/>
          <w:lang w:val="uk-UA"/>
        </w:rPr>
        <w:t>№</w:t>
      </w:r>
      <w:r w:rsidR="00241FCF">
        <w:rPr>
          <w:rStyle w:val="rvts9"/>
          <w:color w:val="000000" w:themeColor="text1"/>
          <w:sz w:val="28"/>
          <w:szCs w:val="28"/>
          <w:lang w:val="uk-UA"/>
        </w:rPr>
        <w:t xml:space="preserve"> </w:t>
      </w:r>
      <w:r w:rsidR="00256585" w:rsidRPr="00246F45">
        <w:rPr>
          <w:rStyle w:val="rvts9"/>
          <w:color w:val="000000" w:themeColor="text1"/>
          <w:sz w:val="28"/>
          <w:szCs w:val="28"/>
          <w:lang w:val="uk-UA"/>
        </w:rPr>
        <w:t>831/21143 (далі – Система довідників).</w:t>
      </w:r>
    </w:p>
    <w:p w:rsidR="00256585" w:rsidRPr="00246F45" w:rsidRDefault="00256585" w:rsidP="00BA33B3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256585" w:rsidRPr="00246F45" w:rsidRDefault="00F94E2D" w:rsidP="00BA33B3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256585" w:rsidRPr="00246F45">
        <w:rPr>
          <w:color w:val="000000" w:themeColor="text1"/>
          <w:sz w:val="28"/>
          <w:szCs w:val="28"/>
        </w:rPr>
        <w:t>У графі 3 «Міжнародний ідентифікаційний номер цінного папер</w:t>
      </w:r>
      <w:r w:rsidR="005B09C2" w:rsidRPr="00246F45">
        <w:rPr>
          <w:color w:val="000000" w:themeColor="text1"/>
          <w:sz w:val="28"/>
          <w:szCs w:val="28"/>
        </w:rPr>
        <w:t>а</w:t>
      </w:r>
      <w:r w:rsidR="00256585" w:rsidRPr="00246F45">
        <w:rPr>
          <w:color w:val="000000" w:themeColor="text1"/>
          <w:sz w:val="28"/>
          <w:szCs w:val="28"/>
        </w:rPr>
        <w:t>» зазначається відповідний номер цінних паперів.</w:t>
      </w:r>
    </w:p>
    <w:p w:rsidR="00256585" w:rsidRPr="00246F45" w:rsidRDefault="00256585" w:rsidP="00BA33B3">
      <w:pPr>
        <w:ind w:firstLine="720"/>
        <w:jc w:val="both"/>
        <w:rPr>
          <w:color w:val="000000" w:themeColor="text1"/>
          <w:sz w:val="28"/>
          <w:szCs w:val="28"/>
        </w:rPr>
      </w:pPr>
    </w:p>
    <w:p w:rsidR="00256585" w:rsidRPr="00246F45" w:rsidRDefault="00F94E2D" w:rsidP="00BA33B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256585" w:rsidRPr="00246F45">
        <w:rPr>
          <w:color w:val="000000" w:themeColor="text1"/>
          <w:sz w:val="28"/>
          <w:szCs w:val="28"/>
        </w:rPr>
        <w:t xml:space="preserve">У графі 4 «Вид договору/контракту» зазначається код показника договору/контракту відповідно до </w:t>
      </w:r>
      <w:r w:rsidR="00256585" w:rsidRPr="00246F45">
        <w:rPr>
          <w:rStyle w:val="rvts0"/>
          <w:color w:val="000000" w:themeColor="text1"/>
          <w:sz w:val="28"/>
          <w:szCs w:val="28"/>
        </w:rPr>
        <w:t xml:space="preserve">довідника </w:t>
      </w:r>
      <w:r w:rsidR="00172438">
        <w:rPr>
          <w:rStyle w:val="rvts0"/>
          <w:color w:val="000000" w:themeColor="text1"/>
          <w:sz w:val="28"/>
          <w:szCs w:val="28"/>
        </w:rPr>
        <w:t xml:space="preserve">15 </w:t>
      </w:r>
      <w:r w:rsidR="00256585" w:rsidRPr="00246F45">
        <w:rPr>
          <w:rStyle w:val="rvts0"/>
          <w:color w:val="000000" w:themeColor="text1"/>
          <w:sz w:val="28"/>
          <w:szCs w:val="28"/>
        </w:rPr>
        <w:t>«Види договорів у діяльності з торгівлі цінними паперами» Системи довідників</w:t>
      </w:r>
      <w:r w:rsidR="00256585" w:rsidRPr="00246F45">
        <w:rPr>
          <w:color w:val="000000" w:themeColor="text1"/>
          <w:sz w:val="28"/>
          <w:szCs w:val="28"/>
        </w:rPr>
        <w:t>.</w:t>
      </w:r>
    </w:p>
    <w:p w:rsidR="00256585" w:rsidRPr="00246F45" w:rsidRDefault="00256585" w:rsidP="00BA33B3">
      <w:pPr>
        <w:ind w:firstLine="720"/>
        <w:rPr>
          <w:color w:val="000000" w:themeColor="text1"/>
        </w:rPr>
      </w:pPr>
      <w:r w:rsidRPr="00246F45">
        <w:rPr>
          <w:color w:val="000000" w:themeColor="text1"/>
        </w:rPr>
        <w:t xml:space="preserve"> </w:t>
      </w:r>
    </w:p>
    <w:p w:rsidR="00256585" w:rsidRPr="00246F45" w:rsidRDefault="00F94E2D" w:rsidP="00BA33B3">
      <w:pPr>
        <w:ind w:firstLine="720"/>
        <w:jc w:val="both"/>
        <w:rPr>
          <w:rStyle w:val="rvts82"/>
          <w:color w:val="000000" w:themeColor="text1"/>
          <w:sz w:val="28"/>
          <w:szCs w:val="28"/>
        </w:rPr>
      </w:pPr>
      <w:r>
        <w:rPr>
          <w:rStyle w:val="rvts82"/>
          <w:color w:val="000000" w:themeColor="text1"/>
          <w:sz w:val="28"/>
          <w:szCs w:val="28"/>
        </w:rPr>
        <w:t xml:space="preserve">6. </w:t>
      </w:r>
      <w:r w:rsidR="00256585" w:rsidRPr="00246F45">
        <w:rPr>
          <w:rStyle w:val="rvts82"/>
          <w:color w:val="000000" w:themeColor="text1"/>
          <w:sz w:val="28"/>
          <w:szCs w:val="28"/>
        </w:rPr>
        <w:t xml:space="preserve">У графі 5 «Сума, </w:t>
      </w:r>
      <w:proofErr w:type="spellStart"/>
      <w:r w:rsidR="00256585" w:rsidRPr="00246F45">
        <w:rPr>
          <w:rStyle w:val="rvts82"/>
          <w:color w:val="000000" w:themeColor="text1"/>
          <w:sz w:val="28"/>
          <w:szCs w:val="28"/>
        </w:rPr>
        <w:t>грн</w:t>
      </w:r>
      <w:proofErr w:type="spellEnd"/>
      <w:r w:rsidR="00256585" w:rsidRPr="00246F45">
        <w:rPr>
          <w:rStyle w:val="rvts82"/>
          <w:color w:val="000000" w:themeColor="text1"/>
          <w:sz w:val="28"/>
          <w:szCs w:val="28"/>
        </w:rPr>
        <w:t xml:space="preserve">» зазначається вартість цінних паперів згідно </w:t>
      </w:r>
      <w:r w:rsidR="003A7CD4" w:rsidRPr="00246F45">
        <w:rPr>
          <w:rStyle w:val="rvts82"/>
          <w:color w:val="000000" w:themeColor="text1"/>
          <w:sz w:val="28"/>
          <w:szCs w:val="28"/>
        </w:rPr>
        <w:t xml:space="preserve">з </w:t>
      </w:r>
      <w:r w:rsidR="00256585" w:rsidRPr="00246F45">
        <w:rPr>
          <w:rStyle w:val="rvts82"/>
          <w:color w:val="000000" w:themeColor="text1"/>
          <w:sz w:val="28"/>
          <w:szCs w:val="28"/>
        </w:rPr>
        <w:t>умов</w:t>
      </w:r>
      <w:r w:rsidR="003A7CD4" w:rsidRPr="00246F45">
        <w:rPr>
          <w:rStyle w:val="rvts82"/>
          <w:color w:val="000000" w:themeColor="text1"/>
          <w:sz w:val="28"/>
          <w:szCs w:val="28"/>
        </w:rPr>
        <w:t>ами</w:t>
      </w:r>
      <w:r w:rsidR="00256585" w:rsidRPr="00246F45">
        <w:rPr>
          <w:rStyle w:val="rvts82"/>
          <w:color w:val="000000" w:themeColor="text1"/>
          <w:sz w:val="28"/>
          <w:szCs w:val="28"/>
        </w:rPr>
        <w:t xml:space="preserve"> договору.</w:t>
      </w:r>
    </w:p>
    <w:p w:rsidR="00EC3070" w:rsidRPr="00246F45" w:rsidRDefault="00EC3070" w:rsidP="00BA33B3">
      <w:pPr>
        <w:pStyle w:val="rvps14"/>
        <w:spacing w:before="0" w:beforeAutospacing="0" w:after="0" w:afterAutospacing="0"/>
        <w:ind w:firstLine="720"/>
        <w:jc w:val="both"/>
        <w:rPr>
          <w:rStyle w:val="rvts82"/>
          <w:color w:val="000000" w:themeColor="text1"/>
          <w:sz w:val="28"/>
          <w:szCs w:val="28"/>
          <w:lang w:val="uk-UA"/>
        </w:rPr>
      </w:pPr>
    </w:p>
    <w:p w:rsidR="00256585" w:rsidRPr="00246F45" w:rsidRDefault="00F94E2D" w:rsidP="00BA33B3">
      <w:pPr>
        <w:pStyle w:val="rvps14"/>
        <w:spacing w:before="0" w:beforeAutospacing="0" w:after="0" w:afterAutospacing="0"/>
        <w:ind w:firstLine="720"/>
        <w:jc w:val="both"/>
        <w:rPr>
          <w:rStyle w:val="rvts82"/>
          <w:color w:val="000000" w:themeColor="text1"/>
          <w:sz w:val="28"/>
          <w:szCs w:val="28"/>
          <w:lang w:val="uk-UA"/>
        </w:rPr>
      </w:pPr>
      <w:r>
        <w:rPr>
          <w:rStyle w:val="rvts82"/>
          <w:color w:val="000000" w:themeColor="text1"/>
          <w:sz w:val="28"/>
          <w:szCs w:val="28"/>
          <w:lang w:val="uk-UA"/>
        </w:rPr>
        <w:t xml:space="preserve">7.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У графах </w:t>
      </w:r>
      <w:r w:rsidR="00D152C7" w:rsidRPr="00246F45">
        <w:rPr>
          <w:rStyle w:val="rvts82"/>
          <w:color w:val="000000" w:themeColor="text1"/>
          <w:sz w:val="28"/>
          <w:szCs w:val="28"/>
          <w:lang w:val="uk-UA"/>
        </w:rPr>
        <w:t xml:space="preserve">6 та 7 щодо реквізитів біржового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контракту</w:t>
      </w:r>
      <w:r w:rsidR="00D152C7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(договору)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зазнача</w:t>
      </w:r>
      <w:r w:rsidR="00222878" w:rsidRPr="00246F45">
        <w:rPr>
          <w:rStyle w:val="rvts82"/>
          <w:color w:val="000000" w:themeColor="text1"/>
          <w:sz w:val="28"/>
          <w:szCs w:val="28"/>
          <w:lang w:val="uk-UA"/>
        </w:rPr>
        <w:t>ю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ться номер та дата біржово</w:t>
      </w:r>
      <w:r w:rsidR="00D152C7" w:rsidRPr="00246F45">
        <w:rPr>
          <w:rStyle w:val="rvts82"/>
          <w:color w:val="000000" w:themeColor="text1"/>
          <w:sz w:val="28"/>
          <w:szCs w:val="28"/>
          <w:lang w:val="uk-UA"/>
        </w:rPr>
        <w:t>го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контракту</w:t>
      </w:r>
      <w:r w:rsidR="00D152C7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(договору)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, зареєстрован</w:t>
      </w:r>
      <w:r w:rsidR="00222878" w:rsidRPr="00246F45">
        <w:rPr>
          <w:rStyle w:val="rvts82"/>
          <w:color w:val="000000" w:themeColor="text1"/>
          <w:sz w:val="28"/>
          <w:szCs w:val="28"/>
          <w:lang w:val="uk-UA"/>
        </w:rPr>
        <w:t>ого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в торг</w:t>
      </w:r>
      <w:r w:rsidR="003A68DA">
        <w:rPr>
          <w:rStyle w:val="rvts82"/>
          <w:color w:val="000000" w:themeColor="text1"/>
          <w:sz w:val="28"/>
          <w:szCs w:val="28"/>
          <w:lang w:val="uk-UA"/>
        </w:rPr>
        <w:t>о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вельній системі фондової біржі, для цінних паперів. </w:t>
      </w:r>
    </w:p>
    <w:p w:rsidR="00EC3070" w:rsidRPr="00246F45" w:rsidRDefault="00EC3070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</w:p>
    <w:p w:rsidR="00256585" w:rsidRPr="00CA6837" w:rsidRDefault="00F94E2D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>
        <w:rPr>
          <w:rStyle w:val="rvts82"/>
          <w:color w:val="000000" w:themeColor="text1"/>
          <w:sz w:val="28"/>
          <w:szCs w:val="28"/>
          <w:lang w:val="uk-UA"/>
        </w:rPr>
        <w:t xml:space="preserve">8.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У графах 8 та 9 зазнача</w:t>
      </w:r>
      <w:r w:rsidR="00374755" w:rsidRPr="00246F45">
        <w:rPr>
          <w:rStyle w:val="rvts82"/>
          <w:color w:val="000000" w:themeColor="text1"/>
          <w:sz w:val="28"/>
          <w:szCs w:val="28"/>
          <w:lang w:val="uk-UA"/>
        </w:rPr>
        <w:t>ю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ться </w:t>
      </w:r>
      <w:r w:rsidR="00256585" w:rsidRPr="000B1FB2">
        <w:rPr>
          <w:rStyle w:val="rvts82"/>
          <w:color w:val="000000" w:themeColor="text1"/>
          <w:sz w:val="28"/>
          <w:szCs w:val="28"/>
          <w:lang w:val="uk-UA"/>
        </w:rPr>
        <w:t>найменування контрагента (покупця)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</w:t>
      </w:r>
      <w:r w:rsidR="00374755" w:rsidRPr="00246F45">
        <w:rPr>
          <w:rStyle w:val="rvts82"/>
          <w:color w:val="000000" w:themeColor="text1"/>
          <w:sz w:val="28"/>
          <w:szCs w:val="28"/>
          <w:lang w:val="uk-UA"/>
        </w:rPr>
        <w:t>(для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юридичної особи</w:t>
      </w:r>
      <w:r w:rsidR="00374755" w:rsidRPr="00246F45">
        <w:rPr>
          <w:rStyle w:val="rvts82"/>
          <w:color w:val="000000" w:themeColor="text1"/>
          <w:sz w:val="28"/>
          <w:szCs w:val="28"/>
          <w:lang w:val="uk-UA"/>
        </w:rPr>
        <w:t>)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або прізвище, ім’я, по</w:t>
      </w:r>
      <w:r w:rsidR="0037475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батькові </w:t>
      </w:r>
      <w:r w:rsidR="0037475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(для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фізичної особи</w:t>
      </w:r>
      <w:r w:rsidR="00374755" w:rsidRPr="00246F45">
        <w:rPr>
          <w:rStyle w:val="rvts82"/>
          <w:color w:val="000000" w:themeColor="text1"/>
          <w:sz w:val="28"/>
          <w:szCs w:val="28"/>
          <w:lang w:val="uk-UA"/>
        </w:rPr>
        <w:t>)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та відповідно код за ЄДРПОУ, код ЄДРІСІ, реєстраційний номер облікової картки </w:t>
      </w:r>
      <w:r w:rsidR="003068C6">
        <w:rPr>
          <w:rStyle w:val="rvts82"/>
          <w:color w:val="000000" w:themeColor="text1"/>
          <w:sz w:val="28"/>
          <w:szCs w:val="28"/>
          <w:lang w:val="uk-UA"/>
        </w:rPr>
        <w:t xml:space="preserve">платника податку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або серія та номер </w:t>
      </w:r>
      <w:r w:rsidR="00256585" w:rsidRPr="00CA6837">
        <w:rPr>
          <w:rStyle w:val="rvts82"/>
          <w:color w:val="000000" w:themeColor="text1"/>
          <w:sz w:val="28"/>
          <w:szCs w:val="28"/>
          <w:lang w:val="uk-UA"/>
        </w:rPr>
        <w:t xml:space="preserve">паспорта фізичної особи </w:t>
      </w:r>
      <w:r w:rsidR="00CA6837" w:rsidRPr="00CA6837">
        <w:rPr>
          <w:rStyle w:val="rvts82"/>
          <w:color w:val="000000" w:themeColor="text1"/>
          <w:sz w:val="28"/>
          <w:szCs w:val="28"/>
          <w:lang w:val="uk-UA"/>
        </w:rPr>
        <w:t>(для</w:t>
      </w:r>
      <w:r w:rsidR="00CA6837" w:rsidRPr="00CA6837">
        <w:rPr>
          <w:color w:val="000000"/>
          <w:sz w:val="28"/>
          <w:szCs w:val="28"/>
          <w:lang w:val="uk-UA"/>
        </w:rPr>
        <w:t xml:space="preserve"> фізичних осіб, які через свої релігійні переконання відмовляються від прийняття реєстраційного номера облікової картки платника податку та повідомили про це відповідний орган </w:t>
      </w:r>
      <w:r w:rsidR="005F1175">
        <w:rPr>
          <w:color w:val="000000"/>
          <w:sz w:val="28"/>
          <w:szCs w:val="28"/>
          <w:lang w:val="uk-UA"/>
        </w:rPr>
        <w:t>державної податкової служби</w:t>
      </w:r>
      <w:r w:rsidR="00CA6837" w:rsidRPr="00CA6837">
        <w:rPr>
          <w:color w:val="000000"/>
          <w:sz w:val="28"/>
          <w:szCs w:val="28"/>
          <w:lang w:val="uk-UA"/>
        </w:rPr>
        <w:t xml:space="preserve"> і мають відмітку у паспорті)</w:t>
      </w:r>
      <w:r w:rsidR="00CA6837">
        <w:rPr>
          <w:color w:val="000000"/>
          <w:sz w:val="28"/>
          <w:szCs w:val="28"/>
          <w:lang w:val="uk-UA"/>
        </w:rPr>
        <w:t xml:space="preserve"> (далі – серія та номер паспорта).</w:t>
      </w:r>
    </w:p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 w:rsidRPr="00246F45">
        <w:rPr>
          <w:rStyle w:val="rvts82"/>
          <w:color w:val="000000" w:themeColor="text1"/>
          <w:sz w:val="28"/>
          <w:szCs w:val="28"/>
          <w:lang w:val="uk-UA"/>
        </w:rPr>
        <w:t xml:space="preserve">Якщо </w:t>
      </w:r>
      <w:r w:rsidR="00447A98" w:rsidRPr="00246F45">
        <w:rPr>
          <w:rStyle w:val="rvts82"/>
          <w:color w:val="000000" w:themeColor="text1"/>
          <w:sz w:val="28"/>
          <w:szCs w:val="28"/>
          <w:lang w:val="uk-UA"/>
        </w:rPr>
        <w:t>контрагентом</w:t>
      </w:r>
      <w:r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виступає нерезидент</w:t>
      </w:r>
      <w:r w:rsidR="008D4902" w:rsidRPr="00246F45">
        <w:rPr>
          <w:rStyle w:val="rvts82"/>
          <w:color w:val="000000" w:themeColor="text1"/>
          <w:sz w:val="28"/>
          <w:szCs w:val="28"/>
          <w:lang w:val="uk-UA"/>
        </w:rPr>
        <w:t>,</w:t>
      </w:r>
      <w:r w:rsidRPr="00246F45">
        <w:rPr>
          <w:rStyle w:val="rvts82"/>
          <w:color w:val="000000" w:themeColor="text1"/>
          <w:sz w:val="28"/>
          <w:szCs w:val="28"/>
          <w:lang w:val="uk-UA"/>
        </w:rPr>
        <w:t xml:space="preserve"> у графі 8 зазначається найменування нерезидента, у графі 9 - код нерезидента у країні реєстрації.</w:t>
      </w:r>
    </w:p>
    <w:p w:rsidR="00EC3070" w:rsidRPr="00246F45" w:rsidRDefault="00EC3070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</w:p>
    <w:p w:rsidR="00256585" w:rsidRPr="00246F45" w:rsidRDefault="00F94E2D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>
        <w:rPr>
          <w:rStyle w:val="rvts82"/>
          <w:color w:val="000000" w:themeColor="text1"/>
          <w:sz w:val="28"/>
          <w:szCs w:val="28"/>
          <w:lang w:val="uk-UA"/>
        </w:rPr>
        <w:t xml:space="preserve">9.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У графах 10 та 11 щодо </w:t>
      </w:r>
      <w:r w:rsidR="00256585" w:rsidRPr="00CC56D5">
        <w:rPr>
          <w:rStyle w:val="rvts82"/>
          <w:color w:val="000000" w:themeColor="text1"/>
          <w:sz w:val="28"/>
          <w:szCs w:val="28"/>
          <w:lang w:val="uk-UA"/>
        </w:rPr>
        <w:t>третьої сторони (клієнта контрагента)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зазнача</w:t>
      </w:r>
      <w:r w:rsidR="00F076A4" w:rsidRPr="00246F45">
        <w:rPr>
          <w:rStyle w:val="rvts82"/>
          <w:color w:val="000000" w:themeColor="text1"/>
          <w:sz w:val="28"/>
          <w:szCs w:val="28"/>
          <w:lang w:val="uk-UA"/>
        </w:rPr>
        <w:t>ю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ться найменування юридичної особи або прізвище, ім’я, по</w:t>
      </w:r>
      <w:r w:rsidR="00F076A4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батькові фізичної особи та відповідно код за ЄДРПОУ, код ЄДРІСІ, реєстраційний номер облікової картки </w:t>
      </w:r>
      <w:r w:rsidR="00C5419A">
        <w:rPr>
          <w:rStyle w:val="rvts82"/>
          <w:color w:val="000000" w:themeColor="text1"/>
          <w:sz w:val="28"/>
          <w:szCs w:val="28"/>
          <w:lang w:val="uk-UA"/>
        </w:rPr>
        <w:t xml:space="preserve">платника податку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або серія та номер паспорта</w:t>
      </w:r>
      <w:r w:rsidR="00256585" w:rsidRPr="00246F45">
        <w:rPr>
          <w:color w:val="000000" w:themeColor="text1"/>
          <w:sz w:val="28"/>
          <w:szCs w:val="28"/>
          <w:lang w:val="uk-UA"/>
        </w:rPr>
        <w:t>.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</w:t>
      </w:r>
    </w:p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 w:rsidRPr="00246F45">
        <w:rPr>
          <w:rStyle w:val="rvts82"/>
          <w:color w:val="000000" w:themeColor="text1"/>
          <w:sz w:val="28"/>
          <w:szCs w:val="28"/>
          <w:lang w:val="uk-UA"/>
        </w:rPr>
        <w:t>Якщо третьою стороною виступає нерезидент</w:t>
      </w:r>
      <w:r w:rsidR="00F076A4" w:rsidRPr="00246F45">
        <w:rPr>
          <w:rStyle w:val="rvts82"/>
          <w:color w:val="000000" w:themeColor="text1"/>
          <w:sz w:val="28"/>
          <w:szCs w:val="28"/>
          <w:lang w:val="uk-UA"/>
        </w:rPr>
        <w:t>,</w:t>
      </w:r>
      <w:r w:rsidRPr="00246F45">
        <w:rPr>
          <w:rStyle w:val="rvts82"/>
          <w:color w:val="000000" w:themeColor="text1"/>
          <w:sz w:val="28"/>
          <w:szCs w:val="28"/>
          <w:lang w:val="uk-UA"/>
        </w:rPr>
        <w:t xml:space="preserve"> у графі 10 зазначається найменування нерезидента, у графі 11 - код нерезидента у країні реєстрації.</w:t>
      </w:r>
    </w:p>
    <w:p w:rsidR="00941C32" w:rsidRDefault="00941C32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</w:p>
    <w:p w:rsidR="00256585" w:rsidRPr="00246F45" w:rsidRDefault="00F94E2D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>
        <w:rPr>
          <w:rStyle w:val="rvts82"/>
          <w:color w:val="000000" w:themeColor="text1"/>
          <w:sz w:val="28"/>
          <w:szCs w:val="28"/>
          <w:lang w:val="uk-UA"/>
        </w:rPr>
        <w:t xml:space="preserve">10.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У графі 12 «Вид операції» зазначається код операції згідно</w:t>
      </w:r>
      <w:r w:rsidR="0011662C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з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таблиц</w:t>
      </w:r>
      <w:r w:rsidR="0011662C" w:rsidRPr="00246F45">
        <w:rPr>
          <w:rStyle w:val="rvts82"/>
          <w:color w:val="000000" w:themeColor="text1"/>
          <w:sz w:val="28"/>
          <w:szCs w:val="28"/>
          <w:lang w:val="uk-UA"/>
        </w:rPr>
        <w:t>ею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«Види операцій»</w:t>
      </w:r>
      <w:r w:rsidR="00256585" w:rsidRPr="00246F45">
        <w:rPr>
          <w:color w:val="000000" w:themeColor="text1"/>
          <w:sz w:val="28"/>
          <w:szCs w:val="28"/>
          <w:lang w:val="uk-UA"/>
        </w:rPr>
        <w:t>.</w:t>
      </w:r>
    </w:p>
    <w:p w:rsidR="00A120CC" w:rsidRDefault="00A120CC" w:rsidP="00BA33B3">
      <w:pPr>
        <w:pStyle w:val="rvps14"/>
        <w:spacing w:before="0" w:beforeAutospacing="0" w:after="0" w:afterAutospacing="0"/>
        <w:ind w:firstLine="709"/>
        <w:jc w:val="right"/>
        <w:rPr>
          <w:rStyle w:val="rvts82"/>
          <w:color w:val="000000" w:themeColor="text1"/>
          <w:sz w:val="28"/>
          <w:szCs w:val="28"/>
          <w:lang w:val="uk-UA"/>
        </w:rPr>
      </w:pPr>
    </w:p>
    <w:p w:rsidR="00A120CC" w:rsidRDefault="00A120CC" w:rsidP="00BA33B3">
      <w:pPr>
        <w:pStyle w:val="rvps14"/>
        <w:spacing w:before="0" w:beforeAutospacing="0" w:after="0" w:afterAutospacing="0"/>
        <w:ind w:firstLine="709"/>
        <w:jc w:val="right"/>
        <w:rPr>
          <w:rStyle w:val="rvts82"/>
          <w:color w:val="000000" w:themeColor="text1"/>
          <w:sz w:val="28"/>
          <w:szCs w:val="28"/>
          <w:lang w:val="uk-UA"/>
        </w:rPr>
      </w:pPr>
    </w:p>
    <w:p w:rsidR="00A120CC" w:rsidRDefault="00A120CC" w:rsidP="00BA33B3">
      <w:pPr>
        <w:pStyle w:val="rvps14"/>
        <w:spacing w:before="0" w:beforeAutospacing="0" w:after="0" w:afterAutospacing="0"/>
        <w:ind w:firstLine="709"/>
        <w:jc w:val="right"/>
        <w:rPr>
          <w:rStyle w:val="rvts82"/>
          <w:color w:val="000000" w:themeColor="text1"/>
          <w:sz w:val="28"/>
          <w:szCs w:val="28"/>
          <w:lang w:val="uk-UA"/>
        </w:rPr>
      </w:pPr>
    </w:p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right"/>
        <w:rPr>
          <w:rStyle w:val="rvts82"/>
          <w:color w:val="000000" w:themeColor="text1"/>
          <w:sz w:val="28"/>
          <w:szCs w:val="28"/>
          <w:lang w:val="uk-UA"/>
        </w:rPr>
      </w:pPr>
      <w:r w:rsidRPr="00246F45">
        <w:rPr>
          <w:rStyle w:val="rvts82"/>
          <w:color w:val="000000" w:themeColor="text1"/>
          <w:sz w:val="28"/>
          <w:szCs w:val="28"/>
          <w:lang w:val="uk-UA"/>
        </w:rPr>
        <w:lastRenderedPageBreak/>
        <w:t>Таблиця</w:t>
      </w:r>
    </w:p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center"/>
        <w:rPr>
          <w:rStyle w:val="rvts82"/>
          <w:color w:val="000000" w:themeColor="text1"/>
          <w:sz w:val="28"/>
          <w:szCs w:val="28"/>
          <w:lang w:val="uk-UA"/>
        </w:rPr>
      </w:pPr>
      <w:r w:rsidRPr="00246F45">
        <w:rPr>
          <w:rStyle w:val="rvts82"/>
          <w:color w:val="000000" w:themeColor="text1"/>
          <w:sz w:val="28"/>
          <w:szCs w:val="28"/>
          <w:lang w:val="uk-UA"/>
        </w:rPr>
        <w:t>Види операцій</w:t>
      </w:r>
    </w:p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center"/>
        <w:rPr>
          <w:rStyle w:val="rvts82"/>
          <w:color w:val="000000" w:themeColor="text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919"/>
      </w:tblGrid>
      <w:tr w:rsidR="00256585" w:rsidRPr="00246F45" w:rsidTr="00854C5A">
        <w:tc>
          <w:tcPr>
            <w:tcW w:w="2093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Код операції</w:t>
            </w:r>
          </w:p>
        </w:tc>
        <w:tc>
          <w:tcPr>
            <w:tcW w:w="7919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Зміст операції</w:t>
            </w:r>
          </w:p>
        </w:tc>
      </w:tr>
      <w:tr w:rsidR="00256585" w:rsidRPr="00246F45" w:rsidTr="00854C5A">
        <w:tc>
          <w:tcPr>
            <w:tcW w:w="2093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01</w:t>
            </w:r>
          </w:p>
        </w:tc>
        <w:tc>
          <w:tcPr>
            <w:tcW w:w="7919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both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Продаж</w:t>
            </w:r>
          </w:p>
        </w:tc>
      </w:tr>
      <w:tr w:rsidR="00256585" w:rsidRPr="00246F45" w:rsidTr="00854C5A">
        <w:tc>
          <w:tcPr>
            <w:tcW w:w="2093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02</w:t>
            </w:r>
          </w:p>
        </w:tc>
        <w:tc>
          <w:tcPr>
            <w:tcW w:w="7919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both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Обмін (міна)</w:t>
            </w:r>
          </w:p>
        </w:tc>
      </w:tr>
      <w:tr w:rsidR="00256585" w:rsidRPr="00246F45" w:rsidTr="00854C5A">
        <w:tc>
          <w:tcPr>
            <w:tcW w:w="2093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03</w:t>
            </w:r>
          </w:p>
        </w:tc>
        <w:tc>
          <w:tcPr>
            <w:tcW w:w="7919" w:type="dxa"/>
          </w:tcPr>
          <w:p w:rsidR="00256585" w:rsidRPr="00246F45" w:rsidRDefault="00256585" w:rsidP="0011662C">
            <w:pPr>
              <w:pStyle w:val="rvps14"/>
              <w:spacing w:before="0" w:beforeAutospacing="0" w:after="0" w:afterAutospacing="0"/>
              <w:jc w:val="both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Зворотн</w:t>
            </w:r>
            <w:r w:rsidR="0011662C"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и</w:t>
            </w: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й викуп</w:t>
            </w:r>
          </w:p>
        </w:tc>
      </w:tr>
      <w:tr w:rsidR="00256585" w:rsidRPr="00246F45" w:rsidTr="00854C5A">
        <w:tc>
          <w:tcPr>
            <w:tcW w:w="2093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04</w:t>
            </w:r>
          </w:p>
        </w:tc>
        <w:tc>
          <w:tcPr>
            <w:tcW w:w="7919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both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Погашення</w:t>
            </w:r>
          </w:p>
        </w:tc>
      </w:tr>
      <w:tr w:rsidR="00256585" w:rsidRPr="00246F45" w:rsidTr="00854C5A">
        <w:tc>
          <w:tcPr>
            <w:tcW w:w="2093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05</w:t>
            </w:r>
          </w:p>
        </w:tc>
        <w:tc>
          <w:tcPr>
            <w:tcW w:w="7919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both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Повернення платнику коштів або майна (майнових прав), попередньо внесених ним до статутного капіталу емітента</w:t>
            </w:r>
          </w:p>
        </w:tc>
      </w:tr>
      <w:tr w:rsidR="00256585" w:rsidRPr="00246F45" w:rsidTr="00854C5A">
        <w:tc>
          <w:tcPr>
            <w:tcW w:w="2093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06</w:t>
            </w:r>
          </w:p>
        </w:tc>
        <w:tc>
          <w:tcPr>
            <w:tcW w:w="7919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both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Дарування/успадкування</w:t>
            </w:r>
          </w:p>
        </w:tc>
      </w:tr>
      <w:tr w:rsidR="00256585" w:rsidRPr="00246F45" w:rsidTr="00854C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07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both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Передача об’єкта (частини об’єкта) житлового будівництва</w:t>
            </w:r>
          </w:p>
        </w:tc>
      </w:tr>
      <w:tr w:rsidR="00256585" w:rsidRPr="00246F45" w:rsidTr="00854C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08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both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Викуп</w:t>
            </w:r>
          </w:p>
        </w:tc>
      </w:tr>
      <w:tr w:rsidR="00256585" w:rsidRPr="00246F45" w:rsidTr="00854C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09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both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 xml:space="preserve">Повторний продаж </w:t>
            </w:r>
          </w:p>
        </w:tc>
      </w:tr>
      <w:tr w:rsidR="00256585" w:rsidRPr="00246F45" w:rsidTr="00854C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both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 xml:space="preserve">Розміщення </w:t>
            </w:r>
          </w:p>
        </w:tc>
      </w:tr>
      <w:tr w:rsidR="00256585" w:rsidRPr="00246F45" w:rsidTr="00854C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both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 xml:space="preserve">Конвертація </w:t>
            </w:r>
          </w:p>
        </w:tc>
      </w:tr>
      <w:tr w:rsidR="00256585" w:rsidRPr="00246F45" w:rsidTr="00854C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both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Здійснення внеску до статутного капіталу</w:t>
            </w:r>
          </w:p>
        </w:tc>
      </w:tr>
      <w:tr w:rsidR="00256585" w:rsidRPr="00246F45" w:rsidTr="00854C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453359">
            <w:pPr>
              <w:pStyle w:val="rvps14"/>
              <w:spacing w:before="0" w:beforeAutospacing="0" w:after="0" w:afterAutospacing="0"/>
              <w:jc w:val="both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Видача ордерного цінного папер</w:t>
            </w:r>
            <w:r w:rsidR="00453359"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256585" w:rsidRPr="00246F45" w:rsidTr="00854C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453359">
            <w:pPr>
              <w:pStyle w:val="rvps14"/>
              <w:spacing w:before="0" w:beforeAutospacing="0" w:after="0" w:afterAutospacing="0"/>
              <w:jc w:val="both"/>
              <w:rPr>
                <w:rStyle w:val="rvts82"/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Видача боргового цінного папер</w:t>
            </w:r>
            <w:r w:rsidR="00453359" w:rsidRPr="00246F45">
              <w:rPr>
                <w:rStyle w:val="rvts82"/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</w:tbl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</w:p>
    <w:p w:rsidR="00256585" w:rsidRPr="00246F45" w:rsidRDefault="00F94E2D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>
        <w:rPr>
          <w:rStyle w:val="rvts82"/>
          <w:color w:val="000000" w:themeColor="text1"/>
          <w:sz w:val="28"/>
          <w:szCs w:val="28"/>
          <w:lang w:val="uk-UA"/>
        </w:rPr>
        <w:t xml:space="preserve">11.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У графі 13 «</w:t>
      </w:r>
      <w:r w:rsidR="00256585" w:rsidRPr="00246F45">
        <w:rPr>
          <w:color w:val="000000" w:themeColor="text1"/>
          <w:sz w:val="28"/>
          <w:szCs w:val="28"/>
          <w:lang w:val="uk-UA"/>
        </w:rPr>
        <w:t>Дата переходу прав власності/ дата виконання деривативу (контракту)»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зазначається дата переходу прав власності на цінні папери/дата виконання контракту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відповідно до форми проведення розрахунку, код якої  визначено у таблиці  «Форми проведення розрахунку» </w:t>
      </w:r>
      <w:r w:rsidR="00C04334">
        <w:rPr>
          <w:color w:val="000000" w:themeColor="text1"/>
          <w:sz w:val="28"/>
          <w:szCs w:val="28"/>
          <w:lang w:val="uk-UA"/>
        </w:rPr>
        <w:t>пункту 21 цієї глави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.</w:t>
      </w:r>
    </w:p>
    <w:p w:rsidR="00EC3070" w:rsidRPr="00246F45" w:rsidRDefault="00EC3070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56585" w:rsidRPr="00246F45" w:rsidRDefault="00F94E2D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12. </w:t>
      </w:r>
      <w:r w:rsidR="00256585" w:rsidRPr="00246F45">
        <w:rPr>
          <w:color w:val="000000" w:themeColor="text1"/>
          <w:sz w:val="28"/>
          <w:szCs w:val="28"/>
          <w:lang w:val="uk-UA"/>
        </w:rPr>
        <w:t>У графі 14 «Дата зарахування коштів» зазначається дата зарахування грошових коштів н</w:t>
      </w:r>
      <w:r w:rsidR="00453359" w:rsidRPr="00246F45">
        <w:rPr>
          <w:color w:val="000000" w:themeColor="text1"/>
          <w:sz w:val="28"/>
          <w:szCs w:val="28"/>
          <w:lang w:val="uk-UA"/>
        </w:rPr>
        <w:t>а баланс платника, у тому числі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у разі здійснення часткового зарахування грошових коштів (передплата) відповідно до форми проведення розрахунку, код якої визначено у таблиці «Форми проведення розрахунку» </w:t>
      </w:r>
      <w:r w:rsidR="00C04334">
        <w:rPr>
          <w:color w:val="000000" w:themeColor="text1"/>
          <w:sz w:val="28"/>
          <w:szCs w:val="28"/>
          <w:lang w:val="uk-UA"/>
        </w:rPr>
        <w:t>пункту 21 цієї глави</w:t>
      </w:r>
      <w:r w:rsidR="00256585" w:rsidRPr="00246F45">
        <w:rPr>
          <w:color w:val="000000" w:themeColor="text1"/>
          <w:sz w:val="28"/>
          <w:szCs w:val="28"/>
          <w:lang w:val="uk-UA"/>
        </w:rPr>
        <w:t>.</w:t>
      </w:r>
    </w:p>
    <w:p w:rsidR="00EC3070" w:rsidRPr="00C04334" w:rsidRDefault="00EC3070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56585" w:rsidRPr="00246F45" w:rsidRDefault="00F94E2D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04334">
        <w:rPr>
          <w:color w:val="000000" w:themeColor="text1"/>
          <w:sz w:val="28"/>
          <w:szCs w:val="28"/>
          <w:lang w:val="uk-UA"/>
        </w:rPr>
        <w:t xml:space="preserve">13. </w:t>
      </w:r>
      <w:r w:rsidR="00256585" w:rsidRPr="00C04334">
        <w:rPr>
          <w:color w:val="000000" w:themeColor="text1"/>
          <w:sz w:val="28"/>
          <w:szCs w:val="28"/>
          <w:lang w:val="uk-UA"/>
        </w:rPr>
        <w:t>У граф</w:t>
      </w:r>
      <w:r w:rsidR="003E4FE6" w:rsidRPr="00C04334">
        <w:rPr>
          <w:color w:val="000000" w:themeColor="text1"/>
          <w:sz w:val="28"/>
          <w:szCs w:val="28"/>
          <w:lang w:val="uk-UA"/>
        </w:rPr>
        <w:t>і</w:t>
      </w:r>
      <w:r w:rsidR="00256585" w:rsidRPr="00C04334">
        <w:rPr>
          <w:color w:val="000000" w:themeColor="text1"/>
          <w:sz w:val="28"/>
          <w:szCs w:val="28"/>
          <w:lang w:val="uk-UA"/>
        </w:rPr>
        <w:t xml:space="preserve"> 15 «</w:t>
      </w:r>
      <w:r w:rsidR="00C04334" w:rsidRPr="00C04334">
        <w:rPr>
          <w:sz w:val="28"/>
          <w:szCs w:val="28"/>
          <w:lang w:val="uk-UA"/>
        </w:rPr>
        <w:t xml:space="preserve">Сума за операцією з відчуження цінних паперів / операцією з деривативами за ставкою 0 відсотків від суми, </w:t>
      </w:r>
      <w:proofErr w:type="spellStart"/>
      <w:r w:rsidR="00C04334" w:rsidRPr="00C04334">
        <w:rPr>
          <w:sz w:val="28"/>
          <w:szCs w:val="28"/>
          <w:lang w:val="uk-UA"/>
        </w:rPr>
        <w:t>грн</w:t>
      </w:r>
      <w:proofErr w:type="spellEnd"/>
      <w:r w:rsidR="00256585" w:rsidRPr="00C04334">
        <w:rPr>
          <w:color w:val="000000" w:themeColor="text1"/>
          <w:sz w:val="28"/>
          <w:szCs w:val="28"/>
          <w:lang w:val="uk-UA"/>
        </w:rPr>
        <w:t xml:space="preserve">» згідно </w:t>
      </w:r>
      <w:r w:rsidR="00BF627E" w:rsidRPr="00C04334">
        <w:rPr>
          <w:color w:val="000000" w:themeColor="text1"/>
          <w:sz w:val="28"/>
          <w:szCs w:val="28"/>
          <w:lang w:val="uk-UA"/>
        </w:rPr>
        <w:t xml:space="preserve">з </w:t>
      </w:r>
      <w:r w:rsidR="00256585" w:rsidRPr="00C04334">
        <w:rPr>
          <w:color w:val="000000" w:themeColor="text1"/>
          <w:sz w:val="28"/>
          <w:szCs w:val="28"/>
          <w:lang w:val="uk-UA"/>
        </w:rPr>
        <w:t>умов</w:t>
      </w:r>
      <w:r w:rsidR="00BF627E" w:rsidRPr="00C04334">
        <w:rPr>
          <w:color w:val="000000" w:themeColor="text1"/>
          <w:sz w:val="28"/>
          <w:szCs w:val="28"/>
          <w:lang w:val="uk-UA"/>
        </w:rPr>
        <w:t>ами</w:t>
      </w:r>
      <w:r w:rsidR="00256585" w:rsidRPr="00C04334">
        <w:rPr>
          <w:color w:val="000000" w:themeColor="text1"/>
          <w:sz w:val="28"/>
          <w:szCs w:val="28"/>
          <w:lang w:val="uk-UA"/>
        </w:rPr>
        <w:t xml:space="preserve"> договору/контракту зазначається сума за операцією з відчуження цінних паперів/</w:t>
      </w:r>
      <w:r w:rsidR="002951D4" w:rsidRPr="00C04334">
        <w:rPr>
          <w:color w:val="000000" w:themeColor="text1"/>
          <w:sz w:val="28"/>
          <w:szCs w:val="28"/>
          <w:lang w:val="uk-UA"/>
        </w:rPr>
        <w:t>операцією з деривативами</w:t>
      </w:r>
      <w:r w:rsidR="00256585" w:rsidRPr="00C04334">
        <w:rPr>
          <w:color w:val="000000" w:themeColor="text1"/>
          <w:sz w:val="28"/>
          <w:szCs w:val="28"/>
          <w:lang w:val="uk-UA"/>
        </w:rPr>
        <w:t>, що є базою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оподаткування, за ставк</w:t>
      </w:r>
      <w:r w:rsidR="003E4FE6" w:rsidRPr="00246F45">
        <w:rPr>
          <w:color w:val="000000" w:themeColor="text1"/>
          <w:sz w:val="28"/>
          <w:szCs w:val="28"/>
          <w:lang w:val="uk-UA"/>
        </w:rPr>
        <w:t>ою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оподаткування 0 від</w:t>
      </w:r>
      <w:r w:rsidR="003E4FE6" w:rsidRPr="00246F45">
        <w:rPr>
          <w:color w:val="000000" w:themeColor="text1"/>
          <w:sz w:val="28"/>
          <w:szCs w:val="28"/>
          <w:lang w:val="uk-UA"/>
        </w:rPr>
        <w:t>сотків</w:t>
      </w:r>
      <w:r w:rsidR="00256585" w:rsidRPr="00246F45">
        <w:rPr>
          <w:color w:val="000000" w:themeColor="text1"/>
          <w:sz w:val="28"/>
          <w:szCs w:val="28"/>
          <w:lang w:val="uk-UA"/>
        </w:rPr>
        <w:t>.</w:t>
      </w:r>
    </w:p>
    <w:p w:rsidR="00C4587C" w:rsidRDefault="00C4587C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56585" w:rsidRPr="00246F45" w:rsidRDefault="00F94E2D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14. </w:t>
      </w:r>
      <w:r w:rsidR="00492889" w:rsidRPr="00246F45">
        <w:rPr>
          <w:color w:val="000000" w:themeColor="text1"/>
          <w:sz w:val="28"/>
          <w:szCs w:val="28"/>
          <w:lang w:val="uk-UA"/>
        </w:rPr>
        <w:t>У г</w:t>
      </w:r>
      <w:r w:rsidR="00256585" w:rsidRPr="00246F45">
        <w:rPr>
          <w:color w:val="000000" w:themeColor="text1"/>
          <w:sz w:val="28"/>
          <w:szCs w:val="28"/>
          <w:lang w:val="uk-UA"/>
        </w:rPr>
        <w:t>раф</w:t>
      </w:r>
      <w:r w:rsidR="00492889" w:rsidRPr="00246F45">
        <w:rPr>
          <w:color w:val="000000" w:themeColor="text1"/>
          <w:sz w:val="28"/>
          <w:szCs w:val="28"/>
          <w:lang w:val="uk-UA"/>
        </w:rPr>
        <w:t>і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1</w:t>
      </w:r>
      <w:r w:rsidR="00C30FDD">
        <w:rPr>
          <w:color w:val="000000" w:themeColor="text1"/>
          <w:sz w:val="28"/>
          <w:szCs w:val="28"/>
          <w:lang w:val="uk-UA"/>
        </w:rPr>
        <w:t>6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«Сума особливого податку </w:t>
      </w:r>
      <w:r w:rsidR="00C30FDD">
        <w:rPr>
          <w:color w:val="000000" w:themeColor="text1"/>
          <w:sz w:val="28"/>
          <w:szCs w:val="28"/>
          <w:lang w:val="uk-UA"/>
        </w:rPr>
        <w:t xml:space="preserve">за ставкою </w:t>
      </w:r>
      <w:r w:rsidR="00256585" w:rsidRPr="00246F45">
        <w:rPr>
          <w:color w:val="000000" w:themeColor="text1"/>
          <w:sz w:val="28"/>
          <w:szCs w:val="28"/>
          <w:lang w:val="uk-UA"/>
        </w:rPr>
        <w:t>0 відсотків від суми</w:t>
      </w:r>
      <w:r w:rsidR="00C30FD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C30FDD">
        <w:rPr>
          <w:color w:val="000000" w:themeColor="text1"/>
          <w:sz w:val="28"/>
          <w:szCs w:val="28"/>
          <w:lang w:val="uk-UA"/>
        </w:rPr>
        <w:t>грн</w:t>
      </w:r>
      <w:proofErr w:type="spellEnd"/>
      <w:r w:rsidR="00256585" w:rsidRPr="00246F45">
        <w:rPr>
          <w:color w:val="000000" w:themeColor="text1"/>
          <w:sz w:val="28"/>
          <w:szCs w:val="28"/>
          <w:lang w:val="uk-UA"/>
        </w:rPr>
        <w:t xml:space="preserve">» </w:t>
      </w:r>
      <w:r w:rsidR="00492889" w:rsidRPr="00246F45">
        <w:rPr>
          <w:color w:val="000000" w:themeColor="text1"/>
          <w:sz w:val="28"/>
          <w:szCs w:val="28"/>
          <w:lang w:val="uk-UA"/>
        </w:rPr>
        <w:t>зазначається 0 (нуль)</w:t>
      </w:r>
      <w:r w:rsidR="00256585" w:rsidRPr="00246F45">
        <w:rPr>
          <w:color w:val="000000" w:themeColor="text1"/>
          <w:sz w:val="28"/>
          <w:szCs w:val="28"/>
          <w:lang w:val="uk-UA"/>
        </w:rPr>
        <w:t>.</w:t>
      </w:r>
    </w:p>
    <w:p w:rsidR="00EC3070" w:rsidRPr="00246F45" w:rsidRDefault="00EC3070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56585" w:rsidRDefault="00F94E2D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15. 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У графі </w:t>
      </w:r>
      <w:r w:rsidR="005C5D6C">
        <w:rPr>
          <w:color w:val="000000" w:themeColor="text1"/>
          <w:sz w:val="28"/>
          <w:szCs w:val="28"/>
          <w:lang w:val="uk-UA"/>
        </w:rPr>
        <w:t>17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«Біржовий курс» зазначається </w:t>
      </w:r>
      <w:r w:rsidR="002F2C05">
        <w:rPr>
          <w:color w:val="000000" w:themeColor="text1"/>
          <w:sz w:val="28"/>
          <w:szCs w:val="28"/>
          <w:lang w:val="uk-UA"/>
        </w:rPr>
        <w:t>біржовий курс</w:t>
      </w:r>
      <w:r w:rsidR="00587A4A">
        <w:rPr>
          <w:color w:val="000000" w:themeColor="text1"/>
          <w:sz w:val="28"/>
          <w:szCs w:val="28"/>
          <w:lang w:val="uk-UA"/>
        </w:rPr>
        <w:t>,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розрахован</w:t>
      </w:r>
      <w:r w:rsidR="002F2C05">
        <w:rPr>
          <w:color w:val="000000" w:themeColor="text1"/>
          <w:sz w:val="28"/>
          <w:szCs w:val="28"/>
          <w:lang w:val="uk-UA"/>
        </w:rPr>
        <w:t>ий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на фондовій біржі, на якій відбулась операція з відчуження цінних паперів. </w:t>
      </w:r>
    </w:p>
    <w:p w:rsidR="005C5D6C" w:rsidRPr="00246F45" w:rsidRDefault="005C5D6C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56585" w:rsidRPr="00246F45" w:rsidRDefault="00F94E2D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16. 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У графі </w:t>
      </w:r>
      <w:r w:rsidR="005C5D6C">
        <w:rPr>
          <w:color w:val="000000" w:themeColor="text1"/>
          <w:sz w:val="28"/>
          <w:szCs w:val="28"/>
          <w:lang w:val="uk-UA"/>
        </w:rPr>
        <w:t>18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«Перебування в біржовому реєстрі («1» - так, «2» - ні)» зазначається наявність або відсутність цінних паперів в біржовому реєстрі фондової біржі, на якій відбулась операція з відчуження цінних паперів, на дату операції. </w:t>
      </w:r>
    </w:p>
    <w:p w:rsidR="00F94E2D" w:rsidRDefault="00F94E2D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56585" w:rsidRPr="00246F45" w:rsidRDefault="00F94E2D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17. 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У графі </w:t>
      </w:r>
      <w:r w:rsidR="0045701B">
        <w:rPr>
          <w:color w:val="000000" w:themeColor="text1"/>
          <w:sz w:val="28"/>
          <w:szCs w:val="28"/>
          <w:lang w:val="uk-UA"/>
        </w:rPr>
        <w:t>19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«Код за ЄДРПОУ фондової біржі» зазначається код за ЄДРПОУ фондової біржі, на якій відбулась операція з відчуження цінних паперів або операція з деривативами.</w:t>
      </w:r>
    </w:p>
    <w:p w:rsidR="00F94E2D" w:rsidRDefault="00F94E2D" w:rsidP="00BA33B3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256585" w:rsidRPr="00246F45" w:rsidRDefault="00F94E2D" w:rsidP="00BA33B3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18. </w:t>
      </w:r>
      <w:r w:rsidR="00256585" w:rsidRPr="000A7E0B">
        <w:rPr>
          <w:color w:val="000000" w:themeColor="text1"/>
          <w:sz w:val="28"/>
          <w:szCs w:val="28"/>
        </w:rPr>
        <w:t xml:space="preserve">У графі </w:t>
      </w:r>
      <w:r w:rsidR="008F7B0F" w:rsidRPr="000A7E0B">
        <w:rPr>
          <w:color w:val="000000" w:themeColor="text1"/>
          <w:sz w:val="28"/>
          <w:szCs w:val="28"/>
        </w:rPr>
        <w:t>20</w:t>
      </w:r>
      <w:r w:rsidR="00256585" w:rsidRPr="000A7E0B">
        <w:rPr>
          <w:color w:val="000000" w:themeColor="text1"/>
          <w:sz w:val="28"/>
          <w:szCs w:val="28"/>
        </w:rPr>
        <w:t xml:space="preserve"> «Кількість </w:t>
      </w:r>
      <w:r w:rsidR="004663BB" w:rsidRPr="000A7E0B">
        <w:rPr>
          <w:color w:val="000000" w:themeColor="text1"/>
          <w:sz w:val="28"/>
          <w:szCs w:val="28"/>
        </w:rPr>
        <w:t>цінних паперів/</w:t>
      </w:r>
      <w:r w:rsidR="00256585" w:rsidRPr="000A7E0B">
        <w:rPr>
          <w:color w:val="000000" w:themeColor="text1"/>
          <w:sz w:val="28"/>
          <w:szCs w:val="28"/>
        </w:rPr>
        <w:t>деривативів» зазнача</w:t>
      </w:r>
      <w:r w:rsidR="007A3758">
        <w:rPr>
          <w:color w:val="000000" w:themeColor="text1"/>
          <w:sz w:val="28"/>
          <w:szCs w:val="28"/>
        </w:rPr>
        <w:t>ю</w:t>
      </w:r>
      <w:r w:rsidR="00256585" w:rsidRPr="000A7E0B">
        <w:rPr>
          <w:color w:val="000000" w:themeColor="text1"/>
          <w:sz w:val="28"/>
          <w:szCs w:val="28"/>
        </w:rPr>
        <w:t xml:space="preserve">ться загальна кількість </w:t>
      </w:r>
      <w:r w:rsidR="00F84A9B" w:rsidRPr="000A7E0B">
        <w:rPr>
          <w:color w:val="000000" w:themeColor="text1"/>
          <w:sz w:val="28"/>
          <w:szCs w:val="28"/>
        </w:rPr>
        <w:t xml:space="preserve">цінних паперів за біржовим контрактом (договором) та загальна кількість </w:t>
      </w:r>
      <w:r w:rsidR="00256585" w:rsidRPr="000A7E0B">
        <w:rPr>
          <w:color w:val="000000" w:themeColor="text1"/>
          <w:sz w:val="28"/>
          <w:szCs w:val="28"/>
        </w:rPr>
        <w:t>дер</w:t>
      </w:r>
      <w:r w:rsidR="00813AF0">
        <w:rPr>
          <w:color w:val="000000" w:themeColor="text1"/>
          <w:sz w:val="28"/>
          <w:szCs w:val="28"/>
        </w:rPr>
        <w:t>ивативів за біржовим</w:t>
      </w:r>
      <w:r w:rsidR="007A3758">
        <w:rPr>
          <w:color w:val="000000" w:themeColor="text1"/>
          <w:sz w:val="28"/>
          <w:szCs w:val="28"/>
        </w:rPr>
        <w:t>(и)</w:t>
      </w:r>
      <w:r w:rsidR="00813AF0">
        <w:rPr>
          <w:color w:val="000000" w:themeColor="text1"/>
          <w:sz w:val="28"/>
          <w:szCs w:val="28"/>
        </w:rPr>
        <w:t xml:space="preserve"> контрактом</w:t>
      </w:r>
      <w:r w:rsidR="00256585" w:rsidRPr="000A7E0B">
        <w:rPr>
          <w:color w:val="000000" w:themeColor="text1"/>
          <w:sz w:val="28"/>
          <w:szCs w:val="28"/>
        </w:rPr>
        <w:t>(</w:t>
      </w:r>
      <w:proofErr w:type="spellStart"/>
      <w:r w:rsidR="00256585" w:rsidRPr="000A7E0B">
        <w:rPr>
          <w:color w:val="000000" w:themeColor="text1"/>
          <w:sz w:val="28"/>
          <w:szCs w:val="28"/>
        </w:rPr>
        <w:t>ами</w:t>
      </w:r>
      <w:proofErr w:type="spellEnd"/>
      <w:r w:rsidR="00256585" w:rsidRPr="000A7E0B">
        <w:rPr>
          <w:color w:val="000000" w:themeColor="text1"/>
          <w:sz w:val="28"/>
          <w:szCs w:val="28"/>
        </w:rPr>
        <w:t>) відповідно до кожної дати виконання деривативу/контракту.</w:t>
      </w:r>
    </w:p>
    <w:p w:rsidR="00256585" w:rsidRPr="00246F45" w:rsidRDefault="00256585" w:rsidP="00BA33B3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256585" w:rsidRPr="00246F45" w:rsidRDefault="00F94E2D" w:rsidP="00BA33B3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19. </w:t>
      </w:r>
      <w:r w:rsidR="00256585" w:rsidRPr="00246F45">
        <w:rPr>
          <w:color w:val="000000" w:themeColor="text1"/>
          <w:sz w:val="28"/>
          <w:szCs w:val="28"/>
        </w:rPr>
        <w:t>У графах 2</w:t>
      </w:r>
      <w:r w:rsidR="000A7E0B">
        <w:rPr>
          <w:color w:val="000000" w:themeColor="text1"/>
          <w:sz w:val="28"/>
          <w:szCs w:val="28"/>
        </w:rPr>
        <w:t>1</w:t>
      </w:r>
      <w:r w:rsidR="00550E16">
        <w:rPr>
          <w:color w:val="000000" w:themeColor="text1"/>
          <w:sz w:val="28"/>
          <w:szCs w:val="28"/>
        </w:rPr>
        <w:t xml:space="preserve"> та </w:t>
      </w:r>
      <w:r w:rsidR="00256585" w:rsidRPr="00246F45">
        <w:rPr>
          <w:color w:val="000000" w:themeColor="text1"/>
          <w:sz w:val="28"/>
          <w:szCs w:val="28"/>
        </w:rPr>
        <w:t>2</w:t>
      </w:r>
      <w:r w:rsidR="000A7E0B">
        <w:rPr>
          <w:color w:val="000000" w:themeColor="text1"/>
          <w:sz w:val="28"/>
          <w:szCs w:val="28"/>
        </w:rPr>
        <w:t>2</w:t>
      </w:r>
      <w:r w:rsidR="00256585" w:rsidRPr="00246F45">
        <w:rPr>
          <w:color w:val="000000" w:themeColor="text1"/>
          <w:sz w:val="28"/>
          <w:szCs w:val="28"/>
        </w:rPr>
        <w:t xml:space="preserve"> «Емітент» зазнача</w:t>
      </w:r>
      <w:r w:rsidR="003D25C3" w:rsidRPr="00246F45">
        <w:rPr>
          <w:color w:val="000000" w:themeColor="text1"/>
          <w:sz w:val="28"/>
          <w:szCs w:val="28"/>
        </w:rPr>
        <w:t>ю</w:t>
      </w:r>
      <w:r w:rsidR="00256585" w:rsidRPr="00246F45">
        <w:rPr>
          <w:color w:val="000000" w:themeColor="text1"/>
          <w:sz w:val="28"/>
          <w:szCs w:val="28"/>
        </w:rPr>
        <w:t>ться код за ЄДРПОУ/</w:t>
      </w:r>
      <w:r w:rsidR="000108A2">
        <w:rPr>
          <w:color w:val="000000" w:themeColor="text1"/>
          <w:sz w:val="28"/>
          <w:szCs w:val="28"/>
        </w:rPr>
        <w:t xml:space="preserve"> </w:t>
      </w:r>
      <w:r w:rsidR="00256585" w:rsidRPr="00246F45">
        <w:rPr>
          <w:color w:val="000000" w:themeColor="text1"/>
          <w:sz w:val="28"/>
          <w:szCs w:val="28"/>
        </w:rPr>
        <w:t>код ЄДРІСІ та найменування емітента цінного</w:t>
      </w:r>
      <w:r w:rsidR="007A3758">
        <w:rPr>
          <w:color w:val="000000" w:themeColor="text1"/>
          <w:sz w:val="28"/>
          <w:szCs w:val="28"/>
        </w:rPr>
        <w:t>(</w:t>
      </w:r>
      <w:proofErr w:type="spellStart"/>
      <w:r w:rsidR="007A3758">
        <w:rPr>
          <w:color w:val="000000" w:themeColor="text1"/>
          <w:sz w:val="28"/>
          <w:szCs w:val="28"/>
        </w:rPr>
        <w:t>их</w:t>
      </w:r>
      <w:proofErr w:type="spellEnd"/>
      <w:r w:rsidR="007A3758">
        <w:rPr>
          <w:color w:val="000000" w:themeColor="text1"/>
          <w:sz w:val="28"/>
          <w:szCs w:val="28"/>
        </w:rPr>
        <w:t>)</w:t>
      </w:r>
      <w:r w:rsidR="00256585" w:rsidRPr="00246F45">
        <w:rPr>
          <w:color w:val="000000" w:themeColor="text1"/>
          <w:sz w:val="28"/>
          <w:szCs w:val="28"/>
        </w:rPr>
        <w:t xml:space="preserve"> папер</w:t>
      </w:r>
      <w:r w:rsidR="003D25C3" w:rsidRPr="00246F45">
        <w:rPr>
          <w:color w:val="000000" w:themeColor="text1"/>
          <w:sz w:val="28"/>
          <w:szCs w:val="28"/>
        </w:rPr>
        <w:t>а</w:t>
      </w:r>
      <w:r w:rsidR="007A3758">
        <w:rPr>
          <w:color w:val="000000" w:themeColor="text1"/>
          <w:sz w:val="28"/>
          <w:szCs w:val="28"/>
        </w:rPr>
        <w:t>(</w:t>
      </w:r>
      <w:proofErr w:type="spellStart"/>
      <w:r w:rsidR="007A3758">
        <w:rPr>
          <w:color w:val="000000" w:themeColor="text1"/>
          <w:sz w:val="28"/>
          <w:szCs w:val="28"/>
        </w:rPr>
        <w:t>ів</w:t>
      </w:r>
      <w:proofErr w:type="spellEnd"/>
      <w:r w:rsidR="007A3758">
        <w:rPr>
          <w:color w:val="000000" w:themeColor="text1"/>
          <w:sz w:val="28"/>
          <w:szCs w:val="28"/>
        </w:rPr>
        <w:t>)</w:t>
      </w:r>
      <w:r w:rsidR="00813AF0">
        <w:rPr>
          <w:color w:val="000000" w:themeColor="text1"/>
          <w:sz w:val="28"/>
          <w:szCs w:val="28"/>
        </w:rPr>
        <w:t>, що відчужується</w:t>
      </w:r>
      <w:r w:rsidR="00256585" w:rsidRPr="00246F45">
        <w:rPr>
          <w:color w:val="000000" w:themeColor="text1"/>
          <w:sz w:val="28"/>
          <w:szCs w:val="28"/>
        </w:rPr>
        <w:t>(</w:t>
      </w:r>
      <w:proofErr w:type="spellStart"/>
      <w:r w:rsidR="00256585" w:rsidRPr="00246F45">
        <w:rPr>
          <w:color w:val="000000" w:themeColor="text1"/>
          <w:sz w:val="28"/>
          <w:szCs w:val="28"/>
        </w:rPr>
        <w:t>ються</w:t>
      </w:r>
      <w:proofErr w:type="spellEnd"/>
      <w:r w:rsidR="00256585" w:rsidRPr="00246F45">
        <w:rPr>
          <w:color w:val="000000" w:themeColor="text1"/>
          <w:sz w:val="28"/>
          <w:szCs w:val="28"/>
        </w:rPr>
        <w:t>) відповідно до біржово</w:t>
      </w:r>
      <w:r w:rsidR="00995CB5">
        <w:rPr>
          <w:color w:val="000000" w:themeColor="text1"/>
          <w:sz w:val="28"/>
          <w:szCs w:val="28"/>
        </w:rPr>
        <w:t>го</w:t>
      </w:r>
      <w:r w:rsidR="00256585" w:rsidRPr="00246F45">
        <w:rPr>
          <w:color w:val="000000" w:themeColor="text1"/>
          <w:sz w:val="28"/>
          <w:szCs w:val="28"/>
        </w:rPr>
        <w:t xml:space="preserve"> контракту</w:t>
      </w:r>
      <w:r w:rsidR="005D288E" w:rsidRPr="00246F45">
        <w:rPr>
          <w:color w:val="000000" w:themeColor="text1"/>
          <w:sz w:val="28"/>
          <w:szCs w:val="28"/>
        </w:rPr>
        <w:t xml:space="preserve"> (договору)</w:t>
      </w:r>
      <w:r w:rsidR="00256585" w:rsidRPr="00246F45">
        <w:rPr>
          <w:color w:val="000000" w:themeColor="text1"/>
          <w:sz w:val="28"/>
          <w:szCs w:val="28"/>
        </w:rPr>
        <w:t xml:space="preserve">. </w:t>
      </w:r>
    </w:p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56585" w:rsidRPr="00246F45" w:rsidRDefault="00F94E2D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20. </w:t>
      </w:r>
      <w:r w:rsidR="00256585" w:rsidRPr="00246F45">
        <w:rPr>
          <w:color w:val="000000" w:themeColor="text1"/>
          <w:sz w:val="28"/>
          <w:szCs w:val="28"/>
          <w:lang w:val="uk-UA"/>
        </w:rPr>
        <w:t>У графах 2</w:t>
      </w:r>
      <w:r w:rsidR="000A7E0B">
        <w:rPr>
          <w:color w:val="000000" w:themeColor="text1"/>
          <w:sz w:val="28"/>
          <w:szCs w:val="28"/>
          <w:lang w:val="uk-UA"/>
        </w:rPr>
        <w:t>3</w:t>
      </w:r>
      <w:r w:rsidR="00550E16">
        <w:rPr>
          <w:color w:val="000000" w:themeColor="text1"/>
          <w:sz w:val="28"/>
          <w:szCs w:val="28"/>
          <w:lang w:val="uk-UA"/>
        </w:rPr>
        <w:t xml:space="preserve"> та </w:t>
      </w:r>
      <w:r w:rsidR="00256585" w:rsidRPr="00246F45">
        <w:rPr>
          <w:color w:val="000000" w:themeColor="text1"/>
          <w:sz w:val="28"/>
          <w:szCs w:val="28"/>
          <w:lang w:val="uk-UA"/>
        </w:rPr>
        <w:t>2</w:t>
      </w:r>
      <w:r w:rsidR="000A7E0B">
        <w:rPr>
          <w:color w:val="000000" w:themeColor="text1"/>
          <w:sz w:val="28"/>
          <w:szCs w:val="28"/>
          <w:lang w:val="uk-UA"/>
        </w:rPr>
        <w:t>4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</w:t>
      </w:r>
      <w:r w:rsidR="00256585" w:rsidRPr="00941C32">
        <w:rPr>
          <w:color w:val="000000" w:themeColor="text1"/>
          <w:sz w:val="28"/>
          <w:szCs w:val="28"/>
          <w:lang w:val="uk-UA"/>
        </w:rPr>
        <w:t>«Особа, від імені якої сплачується особливий податок» зазнача</w:t>
      </w:r>
      <w:r w:rsidR="00E240C2" w:rsidRPr="00941C32">
        <w:rPr>
          <w:color w:val="000000" w:themeColor="text1"/>
          <w:sz w:val="28"/>
          <w:szCs w:val="28"/>
          <w:lang w:val="uk-UA"/>
        </w:rPr>
        <w:t>ю</w:t>
      </w:r>
      <w:r w:rsidR="00256585" w:rsidRPr="00941C32">
        <w:rPr>
          <w:color w:val="000000" w:themeColor="text1"/>
          <w:sz w:val="28"/>
          <w:szCs w:val="28"/>
          <w:lang w:val="uk-UA"/>
        </w:rPr>
        <w:t>ться</w:t>
      </w:r>
      <w:r w:rsidR="00334B18" w:rsidRPr="00246F45">
        <w:rPr>
          <w:color w:val="000000" w:themeColor="text1"/>
          <w:sz w:val="28"/>
          <w:szCs w:val="28"/>
          <w:lang w:val="uk-UA"/>
        </w:rPr>
        <w:t xml:space="preserve"> 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найменування юридичної особи або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прізвище, ім’я, по</w:t>
      </w:r>
      <w:r w:rsidR="00E240C2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батькові фізичної особи та відповідно код за ЄДРПОУ, код ЄДРІСІ, реєстраційний номер облікової картки </w:t>
      </w:r>
      <w:r w:rsidR="00903C6B">
        <w:rPr>
          <w:rStyle w:val="rvts82"/>
          <w:color w:val="000000" w:themeColor="text1"/>
          <w:sz w:val="28"/>
          <w:szCs w:val="28"/>
          <w:lang w:val="uk-UA"/>
        </w:rPr>
        <w:t xml:space="preserve">платника податку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або серія та номер паспорта.</w:t>
      </w:r>
    </w:p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 w:rsidRPr="00246F45">
        <w:rPr>
          <w:rStyle w:val="rvts82"/>
          <w:color w:val="000000" w:themeColor="text1"/>
          <w:sz w:val="28"/>
          <w:szCs w:val="28"/>
          <w:lang w:val="uk-UA"/>
        </w:rPr>
        <w:t>Якщо особою, від імені якої сплачується особливий податок</w:t>
      </w:r>
      <w:r w:rsidR="008F69E6" w:rsidRPr="00246F45">
        <w:rPr>
          <w:rStyle w:val="rvts82"/>
          <w:color w:val="000000" w:themeColor="text1"/>
          <w:sz w:val="28"/>
          <w:szCs w:val="28"/>
          <w:lang w:val="uk-UA"/>
        </w:rPr>
        <w:t>,</w:t>
      </w:r>
      <w:r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виступає нерезидент</w:t>
      </w:r>
      <w:r w:rsidR="008F69E6" w:rsidRPr="00246F45">
        <w:rPr>
          <w:rStyle w:val="rvts82"/>
          <w:color w:val="000000" w:themeColor="text1"/>
          <w:sz w:val="28"/>
          <w:szCs w:val="28"/>
          <w:lang w:val="uk-UA"/>
        </w:rPr>
        <w:t>,</w:t>
      </w:r>
      <w:r w:rsidRPr="00246F45">
        <w:rPr>
          <w:rStyle w:val="rvts82"/>
          <w:color w:val="000000" w:themeColor="text1"/>
          <w:sz w:val="28"/>
          <w:szCs w:val="28"/>
          <w:lang w:val="uk-UA"/>
        </w:rPr>
        <w:t xml:space="preserve"> у графі 2</w:t>
      </w:r>
      <w:r w:rsidR="000A7E0B">
        <w:rPr>
          <w:rStyle w:val="rvts82"/>
          <w:color w:val="000000" w:themeColor="text1"/>
          <w:sz w:val="28"/>
          <w:szCs w:val="28"/>
          <w:lang w:val="uk-UA"/>
        </w:rPr>
        <w:t>3</w:t>
      </w:r>
      <w:r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зазначається код нерезидента у країні реєстрації, у графі 2</w:t>
      </w:r>
      <w:r w:rsidR="000A7E0B">
        <w:rPr>
          <w:rStyle w:val="rvts82"/>
          <w:color w:val="000000" w:themeColor="text1"/>
          <w:sz w:val="28"/>
          <w:szCs w:val="28"/>
          <w:lang w:val="uk-UA"/>
        </w:rPr>
        <w:t>4</w:t>
      </w:r>
      <w:r w:rsidR="008F69E6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-</w:t>
      </w:r>
      <w:r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найменування нерезидента.</w:t>
      </w:r>
    </w:p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56585" w:rsidRPr="00246F45" w:rsidRDefault="00F94E2D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21. </w:t>
      </w:r>
      <w:r w:rsidR="00256585" w:rsidRPr="00246F45">
        <w:rPr>
          <w:color w:val="000000" w:themeColor="text1"/>
          <w:sz w:val="28"/>
          <w:szCs w:val="28"/>
          <w:lang w:val="uk-UA"/>
        </w:rPr>
        <w:t>У графі 2</w:t>
      </w:r>
      <w:r w:rsidR="000A7E0B">
        <w:rPr>
          <w:color w:val="000000" w:themeColor="text1"/>
          <w:sz w:val="28"/>
          <w:szCs w:val="28"/>
          <w:lang w:val="uk-UA"/>
        </w:rPr>
        <w:t>5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«Форма проведення розрахунку» зазначається </w:t>
      </w:r>
      <w:r w:rsidR="00222CCE">
        <w:rPr>
          <w:color w:val="000000" w:themeColor="text1"/>
          <w:sz w:val="28"/>
          <w:szCs w:val="28"/>
          <w:lang w:val="uk-UA"/>
        </w:rPr>
        <w:t xml:space="preserve">форма проведення розрахунку </w:t>
      </w:r>
      <w:r w:rsidR="00256585" w:rsidRPr="00246F45">
        <w:rPr>
          <w:color w:val="000000" w:themeColor="text1"/>
          <w:sz w:val="28"/>
          <w:szCs w:val="28"/>
          <w:lang w:val="uk-UA"/>
        </w:rPr>
        <w:t>відповідно до коду у таблиці «Форм</w:t>
      </w:r>
      <w:r w:rsidR="00F63428" w:rsidRPr="00246F45">
        <w:rPr>
          <w:color w:val="000000" w:themeColor="text1"/>
          <w:sz w:val="28"/>
          <w:szCs w:val="28"/>
          <w:lang w:val="uk-UA"/>
        </w:rPr>
        <w:t>и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проведення розрахунку».</w:t>
      </w:r>
    </w:p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  <w:lang w:val="uk-UA"/>
        </w:rPr>
      </w:pPr>
      <w:r w:rsidRPr="00246F45">
        <w:rPr>
          <w:color w:val="000000" w:themeColor="text1"/>
          <w:sz w:val="28"/>
          <w:szCs w:val="28"/>
          <w:lang w:val="uk-UA"/>
        </w:rPr>
        <w:t xml:space="preserve">Таблиця </w:t>
      </w:r>
    </w:p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246F45">
        <w:rPr>
          <w:color w:val="000000" w:themeColor="text1"/>
          <w:sz w:val="28"/>
          <w:szCs w:val="28"/>
          <w:lang w:val="uk-UA"/>
        </w:rPr>
        <w:t>Форми проведення розрахунку</w:t>
      </w:r>
    </w:p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352"/>
      </w:tblGrid>
      <w:tr w:rsidR="00256585" w:rsidRPr="00246F45" w:rsidTr="00854C5A">
        <w:tc>
          <w:tcPr>
            <w:tcW w:w="2660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 xml:space="preserve">Код </w:t>
            </w:r>
          </w:p>
        </w:tc>
        <w:tc>
          <w:tcPr>
            <w:tcW w:w="7352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Зміст розрахунку</w:t>
            </w:r>
          </w:p>
        </w:tc>
      </w:tr>
      <w:tr w:rsidR="00256585" w:rsidRPr="00246F45" w:rsidTr="00854C5A">
        <w:tc>
          <w:tcPr>
            <w:tcW w:w="2660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01</w:t>
            </w:r>
          </w:p>
        </w:tc>
        <w:tc>
          <w:tcPr>
            <w:tcW w:w="7352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Грошова</w:t>
            </w:r>
          </w:p>
        </w:tc>
      </w:tr>
      <w:tr w:rsidR="00256585" w:rsidRPr="00246F45" w:rsidTr="00854C5A">
        <w:tc>
          <w:tcPr>
            <w:tcW w:w="2660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02</w:t>
            </w:r>
          </w:p>
        </w:tc>
        <w:tc>
          <w:tcPr>
            <w:tcW w:w="7352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Обмін (міна)</w:t>
            </w:r>
          </w:p>
        </w:tc>
      </w:tr>
      <w:tr w:rsidR="00256585" w:rsidRPr="00246F45" w:rsidTr="00854C5A">
        <w:tc>
          <w:tcPr>
            <w:tcW w:w="2660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03</w:t>
            </w:r>
          </w:p>
        </w:tc>
        <w:tc>
          <w:tcPr>
            <w:tcW w:w="7352" w:type="dxa"/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Корпоративні права</w:t>
            </w:r>
          </w:p>
        </w:tc>
      </w:tr>
      <w:tr w:rsidR="00256585" w:rsidRPr="00246F45" w:rsidTr="00854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04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Заставна</w:t>
            </w:r>
          </w:p>
        </w:tc>
      </w:tr>
      <w:tr w:rsidR="00256585" w:rsidRPr="00246F45" w:rsidTr="00854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05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Вексель</w:t>
            </w:r>
          </w:p>
        </w:tc>
      </w:tr>
      <w:tr w:rsidR="00256585" w:rsidRPr="00246F45" w:rsidTr="00854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06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5" w:rsidRPr="00246F45" w:rsidRDefault="00256585" w:rsidP="00BA33B3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Інші цінні папери (крім векселів, заставних)</w:t>
            </w:r>
          </w:p>
        </w:tc>
      </w:tr>
    </w:tbl>
    <w:p w:rsidR="00256585" w:rsidRPr="00246F45" w:rsidRDefault="00256585" w:rsidP="00BA33B3">
      <w:pPr>
        <w:pStyle w:val="a6"/>
        <w:ind w:firstLine="851"/>
        <w:jc w:val="both"/>
        <w:rPr>
          <w:color w:val="000000" w:themeColor="text1"/>
          <w:sz w:val="28"/>
          <w:szCs w:val="28"/>
        </w:rPr>
      </w:pPr>
    </w:p>
    <w:p w:rsidR="00256585" w:rsidRPr="00246F45" w:rsidRDefault="00F94E2D" w:rsidP="00BA33B3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22. </w:t>
      </w:r>
      <w:r w:rsidR="00256585" w:rsidRPr="00246F45">
        <w:rPr>
          <w:color w:val="000000" w:themeColor="text1"/>
          <w:sz w:val="28"/>
          <w:szCs w:val="28"/>
        </w:rPr>
        <w:t>Платник у додатку Д1 відображає операції з відчуження (продаж, інші способи відчуження) ним цінних паперів та операцій з деривативами.</w:t>
      </w:r>
    </w:p>
    <w:p w:rsidR="00EC3070" w:rsidRDefault="00EC3070" w:rsidP="00BA33B3">
      <w:pPr>
        <w:pStyle w:val="a6"/>
        <w:ind w:firstLine="709"/>
        <w:rPr>
          <w:color w:val="000000" w:themeColor="text1"/>
          <w:sz w:val="28"/>
          <w:szCs w:val="28"/>
        </w:rPr>
      </w:pPr>
    </w:p>
    <w:p w:rsidR="00256585" w:rsidRPr="00246F45" w:rsidRDefault="004F7678" w:rsidP="00BA33B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46F45">
        <w:rPr>
          <w:b/>
          <w:color w:val="000000" w:themeColor="text1"/>
          <w:sz w:val="28"/>
          <w:szCs w:val="28"/>
        </w:rPr>
        <w:lastRenderedPageBreak/>
        <w:t>3</w:t>
      </w:r>
      <w:r w:rsidR="00256585" w:rsidRPr="00246F45">
        <w:rPr>
          <w:b/>
          <w:color w:val="000000" w:themeColor="text1"/>
          <w:sz w:val="28"/>
          <w:szCs w:val="28"/>
        </w:rPr>
        <w:t>. Порядок заповнення додатк</w:t>
      </w:r>
      <w:r w:rsidR="000E531E" w:rsidRPr="00246F45">
        <w:rPr>
          <w:b/>
          <w:color w:val="000000" w:themeColor="text1"/>
          <w:sz w:val="28"/>
          <w:szCs w:val="28"/>
        </w:rPr>
        <w:t>а</w:t>
      </w:r>
      <w:r w:rsidR="00256585" w:rsidRPr="00246F45">
        <w:rPr>
          <w:b/>
          <w:color w:val="000000" w:themeColor="text1"/>
          <w:sz w:val="28"/>
          <w:szCs w:val="28"/>
        </w:rPr>
        <w:t xml:space="preserve"> Д2 «Розрахунок суми особливого податку за позабіржовими операціями з відчуження цінних паперів та операцій з деривативами»</w:t>
      </w:r>
    </w:p>
    <w:p w:rsidR="00256585" w:rsidRPr="00246F45" w:rsidRDefault="00256585" w:rsidP="00BA33B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56585" w:rsidRDefault="000A15E5" w:rsidP="00BA33B3">
      <w:pPr>
        <w:ind w:firstLine="720"/>
        <w:jc w:val="both"/>
        <w:rPr>
          <w:rStyle w:val="rvts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256585" w:rsidRPr="00246F45">
        <w:rPr>
          <w:color w:val="000000" w:themeColor="text1"/>
          <w:sz w:val="28"/>
          <w:szCs w:val="28"/>
        </w:rPr>
        <w:t>У розділі 1 додатк</w:t>
      </w:r>
      <w:r w:rsidR="00222CCE">
        <w:rPr>
          <w:color w:val="000000" w:themeColor="text1"/>
          <w:sz w:val="28"/>
          <w:szCs w:val="28"/>
        </w:rPr>
        <w:t>а</w:t>
      </w:r>
      <w:r w:rsidR="00256585" w:rsidRPr="00246F45">
        <w:rPr>
          <w:color w:val="000000" w:themeColor="text1"/>
          <w:sz w:val="28"/>
          <w:szCs w:val="28"/>
        </w:rPr>
        <w:t xml:space="preserve"> «Операції на користь платника» </w:t>
      </w:r>
      <w:r w:rsidR="0035209B">
        <w:rPr>
          <w:color w:val="000000" w:themeColor="text1"/>
          <w:sz w:val="28"/>
          <w:szCs w:val="28"/>
        </w:rPr>
        <w:t>зазначаються</w:t>
      </w:r>
      <w:r w:rsidR="0035209B" w:rsidRPr="00246F45">
        <w:rPr>
          <w:color w:val="000000" w:themeColor="text1"/>
          <w:sz w:val="28"/>
          <w:szCs w:val="28"/>
        </w:rPr>
        <w:t xml:space="preserve"> </w:t>
      </w:r>
      <w:r w:rsidR="00256585" w:rsidRPr="00246F45">
        <w:rPr>
          <w:color w:val="000000" w:themeColor="text1"/>
          <w:sz w:val="28"/>
          <w:szCs w:val="28"/>
        </w:rPr>
        <w:t xml:space="preserve">операції з відчуження цінних паперів та операції з деривативами, що проводяться платником </w:t>
      </w:r>
      <w:r w:rsidR="00256585" w:rsidRPr="00246F45">
        <w:rPr>
          <w:rStyle w:val="rvts0"/>
          <w:color w:val="000000" w:themeColor="text1"/>
          <w:sz w:val="28"/>
          <w:szCs w:val="28"/>
        </w:rPr>
        <w:t>від свого імені та за свій рахунок.</w:t>
      </w:r>
    </w:p>
    <w:p w:rsidR="000A15E5" w:rsidRPr="00246F45" w:rsidRDefault="000A15E5" w:rsidP="00BA33B3">
      <w:pPr>
        <w:ind w:firstLine="720"/>
        <w:jc w:val="both"/>
        <w:rPr>
          <w:color w:val="000000" w:themeColor="text1"/>
          <w:sz w:val="28"/>
          <w:szCs w:val="28"/>
        </w:rPr>
      </w:pPr>
    </w:p>
    <w:p w:rsidR="00256585" w:rsidRDefault="000A15E5" w:rsidP="00BA33B3">
      <w:pPr>
        <w:ind w:firstLine="720"/>
        <w:jc w:val="both"/>
        <w:rPr>
          <w:rStyle w:val="rvts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256585" w:rsidRPr="00246F45">
        <w:rPr>
          <w:color w:val="000000" w:themeColor="text1"/>
          <w:sz w:val="28"/>
          <w:szCs w:val="28"/>
        </w:rPr>
        <w:t>У розділі 2 додатк</w:t>
      </w:r>
      <w:r w:rsidR="00222CCE">
        <w:rPr>
          <w:color w:val="000000" w:themeColor="text1"/>
          <w:sz w:val="28"/>
          <w:szCs w:val="28"/>
        </w:rPr>
        <w:t>а</w:t>
      </w:r>
      <w:r w:rsidR="00256585" w:rsidRPr="00246F45">
        <w:rPr>
          <w:color w:val="000000" w:themeColor="text1"/>
          <w:sz w:val="28"/>
          <w:szCs w:val="28"/>
        </w:rPr>
        <w:t xml:space="preserve"> «Операції платника на підставі договору» </w:t>
      </w:r>
      <w:r w:rsidR="0035209B">
        <w:rPr>
          <w:color w:val="000000" w:themeColor="text1"/>
          <w:sz w:val="28"/>
          <w:szCs w:val="28"/>
        </w:rPr>
        <w:t>зазначаються</w:t>
      </w:r>
      <w:r w:rsidR="0035209B" w:rsidRPr="00246F45">
        <w:rPr>
          <w:color w:val="000000" w:themeColor="text1"/>
          <w:sz w:val="28"/>
          <w:szCs w:val="28"/>
        </w:rPr>
        <w:t xml:space="preserve"> </w:t>
      </w:r>
      <w:r w:rsidR="00256585" w:rsidRPr="00246F45">
        <w:rPr>
          <w:color w:val="000000" w:themeColor="text1"/>
          <w:sz w:val="28"/>
          <w:szCs w:val="28"/>
        </w:rPr>
        <w:t>операції з відчуження цінних паперів та операції з деривативами, що проводяться платником в</w:t>
      </w:r>
      <w:r w:rsidR="00256585" w:rsidRPr="00246F45">
        <w:rPr>
          <w:rStyle w:val="rvts0"/>
          <w:color w:val="000000" w:themeColor="text1"/>
          <w:sz w:val="28"/>
          <w:szCs w:val="28"/>
        </w:rPr>
        <w:t>ід імені (від свого імені) та за рахунок клієнта.</w:t>
      </w:r>
    </w:p>
    <w:p w:rsidR="000A15E5" w:rsidRPr="00246F45" w:rsidRDefault="000A15E5" w:rsidP="00BA33B3">
      <w:pPr>
        <w:ind w:firstLine="720"/>
        <w:jc w:val="both"/>
        <w:rPr>
          <w:rStyle w:val="rvts0"/>
          <w:color w:val="000000" w:themeColor="text1"/>
          <w:sz w:val="28"/>
          <w:szCs w:val="28"/>
        </w:rPr>
      </w:pPr>
    </w:p>
    <w:p w:rsidR="00256585" w:rsidRPr="00246F45" w:rsidRDefault="000A15E5" w:rsidP="00BA33B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256585" w:rsidRPr="00246F45">
        <w:rPr>
          <w:color w:val="000000" w:themeColor="text1"/>
          <w:sz w:val="28"/>
          <w:szCs w:val="28"/>
        </w:rPr>
        <w:t>У графі 2 «Вид цінного папер</w:t>
      </w:r>
      <w:r w:rsidR="00CC169A" w:rsidRPr="00246F45">
        <w:rPr>
          <w:color w:val="000000" w:themeColor="text1"/>
          <w:sz w:val="28"/>
          <w:szCs w:val="28"/>
        </w:rPr>
        <w:t>а</w:t>
      </w:r>
      <w:r w:rsidR="00256585" w:rsidRPr="00246F45">
        <w:rPr>
          <w:color w:val="000000" w:themeColor="text1"/>
          <w:sz w:val="28"/>
          <w:szCs w:val="28"/>
        </w:rPr>
        <w:t>/деривативу» зазначається код показника цінного папер</w:t>
      </w:r>
      <w:r w:rsidR="00CC169A" w:rsidRPr="00246F45">
        <w:rPr>
          <w:color w:val="000000" w:themeColor="text1"/>
          <w:sz w:val="28"/>
          <w:szCs w:val="28"/>
        </w:rPr>
        <w:t>а</w:t>
      </w:r>
      <w:r w:rsidR="00256585" w:rsidRPr="00246F45">
        <w:rPr>
          <w:color w:val="000000" w:themeColor="text1"/>
          <w:sz w:val="28"/>
          <w:szCs w:val="28"/>
        </w:rPr>
        <w:t xml:space="preserve">/деривативу відповідно до </w:t>
      </w:r>
      <w:r w:rsidR="00256585" w:rsidRPr="00246F45">
        <w:rPr>
          <w:rStyle w:val="rvts0"/>
          <w:color w:val="000000" w:themeColor="text1"/>
          <w:sz w:val="28"/>
          <w:szCs w:val="28"/>
        </w:rPr>
        <w:t xml:space="preserve">довідника </w:t>
      </w:r>
      <w:r w:rsidR="00174D96">
        <w:rPr>
          <w:rStyle w:val="rvts0"/>
          <w:color w:val="000000" w:themeColor="text1"/>
          <w:sz w:val="28"/>
          <w:szCs w:val="28"/>
        </w:rPr>
        <w:t xml:space="preserve">7 </w:t>
      </w:r>
      <w:r w:rsidR="00256585" w:rsidRPr="00246F45">
        <w:rPr>
          <w:rStyle w:val="rvts0"/>
          <w:color w:val="000000" w:themeColor="text1"/>
          <w:sz w:val="28"/>
          <w:szCs w:val="28"/>
        </w:rPr>
        <w:t xml:space="preserve">«Класифікація фінансових інструментів» </w:t>
      </w:r>
      <w:r w:rsidR="00256585" w:rsidRPr="00246F45">
        <w:rPr>
          <w:rStyle w:val="rvts23"/>
          <w:color w:val="000000" w:themeColor="text1"/>
          <w:sz w:val="28"/>
          <w:szCs w:val="28"/>
        </w:rPr>
        <w:t>Системи довідників</w:t>
      </w:r>
      <w:r w:rsidR="00256585" w:rsidRPr="00246F45">
        <w:rPr>
          <w:color w:val="000000" w:themeColor="text1"/>
          <w:sz w:val="28"/>
          <w:szCs w:val="28"/>
        </w:rPr>
        <w:t>.</w:t>
      </w:r>
    </w:p>
    <w:p w:rsidR="00256585" w:rsidRPr="00246F45" w:rsidRDefault="00256585" w:rsidP="00BA33B3">
      <w:pPr>
        <w:ind w:firstLine="720"/>
        <w:jc w:val="both"/>
        <w:rPr>
          <w:color w:val="000000" w:themeColor="text1"/>
          <w:sz w:val="28"/>
          <w:szCs w:val="28"/>
        </w:rPr>
      </w:pPr>
    </w:p>
    <w:p w:rsidR="00256585" w:rsidRPr="00246F45" w:rsidRDefault="000A15E5" w:rsidP="00BA33B3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256585" w:rsidRPr="00246F45">
        <w:rPr>
          <w:color w:val="000000" w:themeColor="text1"/>
          <w:sz w:val="28"/>
          <w:szCs w:val="28"/>
        </w:rPr>
        <w:t>У графі 3 «Міжнародний ідентифікаційний номер цінного папер</w:t>
      </w:r>
      <w:r w:rsidR="00BD3BAD" w:rsidRPr="00246F45">
        <w:rPr>
          <w:color w:val="000000" w:themeColor="text1"/>
          <w:sz w:val="28"/>
          <w:szCs w:val="28"/>
        </w:rPr>
        <w:t>а</w:t>
      </w:r>
      <w:r w:rsidR="00256585" w:rsidRPr="00246F45">
        <w:rPr>
          <w:color w:val="000000" w:themeColor="text1"/>
          <w:sz w:val="28"/>
          <w:szCs w:val="28"/>
        </w:rPr>
        <w:t>/серія та номер векселя, заставної/код (визначення) деривативу» зазнача</w:t>
      </w:r>
      <w:r w:rsidR="00E37121" w:rsidRPr="00246F45">
        <w:rPr>
          <w:color w:val="000000" w:themeColor="text1"/>
          <w:sz w:val="28"/>
          <w:szCs w:val="28"/>
        </w:rPr>
        <w:t>ю</w:t>
      </w:r>
      <w:r w:rsidR="00256585" w:rsidRPr="00246F45">
        <w:rPr>
          <w:color w:val="000000" w:themeColor="text1"/>
          <w:sz w:val="28"/>
          <w:szCs w:val="28"/>
        </w:rPr>
        <w:t>ться відповідний номер цінних паперів, реквізити векселя/заставної; код (визначення) деривативу.</w:t>
      </w:r>
    </w:p>
    <w:p w:rsidR="00256585" w:rsidRPr="00246F45" w:rsidRDefault="00256585" w:rsidP="00BA33B3">
      <w:pPr>
        <w:ind w:firstLine="720"/>
        <w:jc w:val="both"/>
        <w:rPr>
          <w:color w:val="000000" w:themeColor="text1"/>
          <w:sz w:val="28"/>
          <w:szCs w:val="28"/>
        </w:rPr>
      </w:pPr>
    </w:p>
    <w:p w:rsidR="00256585" w:rsidRPr="00246F45" w:rsidRDefault="000A15E5" w:rsidP="00BA33B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256585" w:rsidRPr="00246F45">
        <w:rPr>
          <w:color w:val="000000" w:themeColor="text1"/>
          <w:sz w:val="28"/>
          <w:szCs w:val="28"/>
        </w:rPr>
        <w:t xml:space="preserve">У графі 4 «Вид договору/контракту» зазначається код показника договору/контракту згідно </w:t>
      </w:r>
      <w:r w:rsidR="002F2C0C" w:rsidRPr="00246F45">
        <w:rPr>
          <w:color w:val="000000" w:themeColor="text1"/>
          <w:sz w:val="28"/>
          <w:szCs w:val="28"/>
        </w:rPr>
        <w:t xml:space="preserve">з </w:t>
      </w:r>
      <w:r w:rsidR="00256585" w:rsidRPr="00246F45">
        <w:rPr>
          <w:color w:val="000000" w:themeColor="text1"/>
          <w:sz w:val="28"/>
          <w:szCs w:val="28"/>
        </w:rPr>
        <w:t>журнал</w:t>
      </w:r>
      <w:r w:rsidR="002F2C0C" w:rsidRPr="00246F45">
        <w:rPr>
          <w:color w:val="000000" w:themeColor="text1"/>
          <w:sz w:val="28"/>
          <w:szCs w:val="28"/>
        </w:rPr>
        <w:t>ом</w:t>
      </w:r>
      <w:r w:rsidR="00256585" w:rsidRPr="00246F45">
        <w:rPr>
          <w:color w:val="000000" w:themeColor="text1"/>
          <w:sz w:val="28"/>
          <w:szCs w:val="28"/>
        </w:rPr>
        <w:t xml:space="preserve"> обліку платника відповідно до </w:t>
      </w:r>
      <w:r w:rsidR="00256585" w:rsidRPr="00246F45">
        <w:rPr>
          <w:rStyle w:val="rvts0"/>
          <w:color w:val="000000" w:themeColor="text1"/>
          <w:sz w:val="28"/>
          <w:szCs w:val="28"/>
        </w:rPr>
        <w:t xml:space="preserve">довідника </w:t>
      </w:r>
      <w:r w:rsidR="00174D96">
        <w:rPr>
          <w:rStyle w:val="rvts0"/>
          <w:color w:val="000000" w:themeColor="text1"/>
          <w:sz w:val="28"/>
          <w:szCs w:val="28"/>
        </w:rPr>
        <w:t xml:space="preserve">15 </w:t>
      </w:r>
      <w:r w:rsidR="00256585" w:rsidRPr="00246F45">
        <w:rPr>
          <w:rStyle w:val="rvts0"/>
          <w:color w:val="000000" w:themeColor="text1"/>
          <w:sz w:val="28"/>
          <w:szCs w:val="28"/>
        </w:rPr>
        <w:t>«Види договорів у діяльності з торгівлі цінними паперами» Системи довідників</w:t>
      </w:r>
      <w:r w:rsidR="00256585" w:rsidRPr="00246F45">
        <w:rPr>
          <w:color w:val="000000" w:themeColor="text1"/>
          <w:sz w:val="28"/>
          <w:szCs w:val="28"/>
        </w:rPr>
        <w:t>.</w:t>
      </w:r>
    </w:p>
    <w:p w:rsidR="00256585" w:rsidRPr="00246F45" w:rsidRDefault="00256585" w:rsidP="00BA33B3">
      <w:pPr>
        <w:ind w:firstLine="720"/>
        <w:jc w:val="both"/>
        <w:rPr>
          <w:rStyle w:val="rvts82"/>
          <w:color w:val="000000" w:themeColor="text1"/>
          <w:sz w:val="28"/>
          <w:szCs w:val="28"/>
        </w:rPr>
      </w:pPr>
    </w:p>
    <w:p w:rsidR="00256585" w:rsidRPr="00246F45" w:rsidRDefault="000A15E5" w:rsidP="00BA33B3">
      <w:pPr>
        <w:ind w:firstLine="720"/>
        <w:jc w:val="both"/>
        <w:rPr>
          <w:rStyle w:val="rvts82"/>
          <w:color w:val="000000" w:themeColor="text1"/>
          <w:sz w:val="28"/>
          <w:szCs w:val="28"/>
        </w:rPr>
      </w:pPr>
      <w:r>
        <w:rPr>
          <w:rStyle w:val="rvts82"/>
          <w:color w:val="000000" w:themeColor="text1"/>
          <w:sz w:val="28"/>
          <w:szCs w:val="28"/>
        </w:rPr>
        <w:t xml:space="preserve">6. </w:t>
      </w:r>
      <w:r w:rsidR="00256585" w:rsidRPr="00246F45">
        <w:rPr>
          <w:rStyle w:val="rvts82"/>
          <w:color w:val="000000" w:themeColor="text1"/>
          <w:sz w:val="28"/>
          <w:szCs w:val="28"/>
        </w:rPr>
        <w:t xml:space="preserve">У графі 5 «Сума, </w:t>
      </w:r>
      <w:proofErr w:type="spellStart"/>
      <w:r w:rsidR="00256585" w:rsidRPr="00246F45">
        <w:rPr>
          <w:rStyle w:val="rvts82"/>
          <w:color w:val="000000" w:themeColor="text1"/>
          <w:sz w:val="28"/>
          <w:szCs w:val="28"/>
        </w:rPr>
        <w:t>грн</w:t>
      </w:r>
      <w:proofErr w:type="spellEnd"/>
      <w:r w:rsidR="00256585" w:rsidRPr="00246F45">
        <w:rPr>
          <w:rStyle w:val="rvts82"/>
          <w:color w:val="000000" w:themeColor="text1"/>
          <w:sz w:val="28"/>
          <w:szCs w:val="28"/>
        </w:rPr>
        <w:t xml:space="preserve">» зазначається вартість цінних паперів або деривативів згідно </w:t>
      </w:r>
      <w:r w:rsidR="002F2C0C" w:rsidRPr="00246F45">
        <w:rPr>
          <w:rStyle w:val="rvts82"/>
          <w:color w:val="000000" w:themeColor="text1"/>
          <w:sz w:val="28"/>
          <w:szCs w:val="28"/>
        </w:rPr>
        <w:t xml:space="preserve">з </w:t>
      </w:r>
      <w:r w:rsidR="00256585" w:rsidRPr="00246F45">
        <w:rPr>
          <w:rStyle w:val="rvts82"/>
          <w:color w:val="000000" w:themeColor="text1"/>
          <w:sz w:val="28"/>
          <w:szCs w:val="28"/>
        </w:rPr>
        <w:t>умов</w:t>
      </w:r>
      <w:r w:rsidR="002F2C0C" w:rsidRPr="00246F45">
        <w:rPr>
          <w:rStyle w:val="rvts82"/>
          <w:color w:val="000000" w:themeColor="text1"/>
          <w:sz w:val="28"/>
          <w:szCs w:val="28"/>
        </w:rPr>
        <w:t>ами</w:t>
      </w:r>
      <w:r w:rsidR="00256585" w:rsidRPr="00246F45">
        <w:rPr>
          <w:rStyle w:val="rvts82"/>
          <w:color w:val="000000" w:themeColor="text1"/>
          <w:sz w:val="28"/>
          <w:szCs w:val="28"/>
        </w:rPr>
        <w:t xml:space="preserve"> договору/контракту. У раз</w:t>
      </w:r>
      <w:r w:rsidR="00222CCE">
        <w:rPr>
          <w:rStyle w:val="rvts82"/>
          <w:color w:val="000000" w:themeColor="text1"/>
          <w:sz w:val="28"/>
          <w:szCs w:val="28"/>
        </w:rPr>
        <w:t>і якщо вартість цінних паперів/</w:t>
      </w:r>
      <w:r w:rsidR="00256585" w:rsidRPr="00246F45">
        <w:rPr>
          <w:rStyle w:val="rvts82"/>
          <w:color w:val="000000" w:themeColor="text1"/>
          <w:sz w:val="28"/>
          <w:szCs w:val="28"/>
        </w:rPr>
        <w:t xml:space="preserve">деривативів згідно </w:t>
      </w:r>
      <w:r w:rsidR="007F65EF" w:rsidRPr="00246F45">
        <w:rPr>
          <w:rStyle w:val="rvts82"/>
          <w:color w:val="000000" w:themeColor="text1"/>
          <w:sz w:val="28"/>
          <w:szCs w:val="28"/>
        </w:rPr>
        <w:t xml:space="preserve">з </w:t>
      </w:r>
      <w:r w:rsidR="00256585" w:rsidRPr="00246F45">
        <w:rPr>
          <w:rStyle w:val="rvts82"/>
          <w:color w:val="000000" w:themeColor="text1"/>
          <w:sz w:val="28"/>
          <w:szCs w:val="28"/>
        </w:rPr>
        <w:t>умов</w:t>
      </w:r>
      <w:r w:rsidR="007F65EF" w:rsidRPr="00246F45">
        <w:rPr>
          <w:rStyle w:val="rvts82"/>
          <w:color w:val="000000" w:themeColor="text1"/>
          <w:sz w:val="28"/>
          <w:szCs w:val="28"/>
        </w:rPr>
        <w:t>ами</w:t>
      </w:r>
      <w:r w:rsidR="00256585" w:rsidRPr="00246F45">
        <w:rPr>
          <w:rStyle w:val="rvts82"/>
          <w:color w:val="000000" w:themeColor="text1"/>
          <w:sz w:val="28"/>
          <w:szCs w:val="28"/>
        </w:rPr>
        <w:t xml:space="preserve"> договору/контракту відображена в іншій валюті</w:t>
      </w:r>
      <w:r w:rsidR="000F6EBB" w:rsidRPr="00246F45">
        <w:rPr>
          <w:rStyle w:val="rvts82"/>
          <w:color w:val="000000" w:themeColor="text1"/>
          <w:sz w:val="28"/>
          <w:szCs w:val="28"/>
        </w:rPr>
        <w:t>,</w:t>
      </w:r>
      <w:r w:rsidR="00256585" w:rsidRPr="00246F45">
        <w:rPr>
          <w:rStyle w:val="rvts82"/>
          <w:color w:val="000000" w:themeColor="text1"/>
          <w:sz w:val="28"/>
          <w:szCs w:val="28"/>
        </w:rPr>
        <w:t xml:space="preserve"> ніж гривня, відображається вартість цінних паперів/деривативів у гривні відповідно до даних бухгалтерського обліку.</w:t>
      </w:r>
    </w:p>
    <w:p w:rsidR="00EC3070" w:rsidRPr="00246F45" w:rsidRDefault="00EC3070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</w:p>
    <w:p w:rsidR="00256585" w:rsidRPr="00246F45" w:rsidRDefault="000A15E5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>
        <w:rPr>
          <w:rStyle w:val="rvts82"/>
          <w:color w:val="000000" w:themeColor="text1"/>
          <w:sz w:val="28"/>
          <w:szCs w:val="28"/>
          <w:lang w:val="uk-UA"/>
        </w:rPr>
        <w:t xml:space="preserve">7.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У графах 6 та 7 щодо реквізитів договору/контракту зазнача</w:t>
      </w:r>
      <w:r w:rsidR="000F6EBB" w:rsidRPr="00246F45">
        <w:rPr>
          <w:rStyle w:val="rvts82"/>
          <w:color w:val="000000" w:themeColor="text1"/>
          <w:sz w:val="28"/>
          <w:szCs w:val="28"/>
          <w:lang w:val="uk-UA"/>
        </w:rPr>
        <w:t>ю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ться номер та дата договору/контракту згідно</w:t>
      </w:r>
      <w:r w:rsidR="000F6EBB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з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внутрішн</w:t>
      </w:r>
      <w:r w:rsidR="000F6EBB" w:rsidRPr="00246F45">
        <w:rPr>
          <w:rStyle w:val="rvts82"/>
          <w:color w:val="000000" w:themeColor="text1"/>
          <w:sz w:val="28"/>
          <w:szCs w:val="28"/>
          <w:lang w:val="uk-UA"/>
        </w:rPr>
        <w:t>ім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облік</w:t>
      </w:r>
      <w:r w:rsidR="000F6EBB" w:rsidRPr="00246F45">
        <w:rPr>
          <w:rStyle w:val="rvts82"/>
          <w:color w:val="000000" w:themeColor="text1"/>
          <w:sz w:val="28"/>
          <w:szCs w:val="28"/>
          <w:lang w:val="uk-UA"/>
        </w:rPr>
        <w:t>ом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платника (журнал</w:t>
      </w:r>
      <w:r w:rsidR="000F6EBB" w:rsidRPr="00246F45">
        <w:rPr>
          <w:rStyle w:val="rvts82"/>
          <w:color w:val="000000" w:themeColor="text1"/>
          <w:sz w:val="28"/>
          <w:szCs w:val="28"/>
          <w:lang w:val="uk-UA"/>
        </w:rPr>
        <w:t>ом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обліку).</w:t>
      </w:r>
    </w:p>
    <w:p w:rsidR="00EC3070" w:rsidRPr="00246F45" w:rsidRDefault="00EC3070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</w:p>
    <w:p w:rsidR="00256585" w:rsidRPr="00246F45" w:rsidRDefault="000A15E5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>
        <w:rPr>
          <w:rStyle w:val="rvts82"/>
          <w:color w:val="000000" w:themeColor="text1"/>
          <w:sz w:val="28"/>
          <w:szCs w:val="28"/>
          <w:lang w:val="uk-UA"/>
        </w:rPr>
        <w:t xml:space="preserve">8.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У графах 8 та 9 зазнача</w:t>
      </w:r>
      <w:r w:rsidR="00297764" w:rsidRPr="00246F45">
        <w:rPr>
          <w:rStyle w:val="rvts82"/>
          <w:color w:val="000000" w:themeColor="text1"/>
          <w:sz w:val="28"/>
          <w:szCs w:val="28"/>
          <w:lang w:val="uk-UA"/>
        </w:rPr>
        <w:t>ю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ться найменування </w:t>
      </w:r>
      <w:r w:rsidR="008B0FFB" w:rsidRPr="00131102">
        <w:rPr>
          <w:rStyle w:val="rvts82"/>
          <w:color w:val="000000" w:themeColor="text1"/>
          <w:sz w:val="28"/>
          <w:szCs w:val="28"/>
          <w:lang w:val="uk-UA"/>
        </w:rPr>
        <w:t>контрагента (покупця)</w:t>
      </w:r>
      <w:r w:rsidR="008B0FFB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</w:t>
      </w:r>
      <w:r w:rsidR="008F4CD2" w:rsidRPr="00246F45">
        <w:rPr>
          <w:rStyle w:val="rvts82"/>
          <w:color w:val="000000" w:themeColor="text1"/>
          <w:sz w:val="28"/>
          <w:szCs w:val="28"/>
          <w:lang w:val="uk-UA"/>
        </w:rPr>
        <w:t>(для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юридичної особи</w:t>
      </w:r>
      <w:r w:rsidR="008F4CD2" w:rsidRPr="00246F45">
        <w:rPr>
          <w:rStyle w:val="rvts82"/>
          <w:color w:val="000000" w:themeColor="text1"/>
          <w:sz w:val="28"/>
          <w:szCs w:val="28"/>
          <w:lang w:val="uk-UA"/>
        </w:rPr>
        <w:t>)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або прізвище, ім’я, по</w:t>
      </w:r>
      <w:r w:rsidR="008F4CD2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батькові </w:t>
      </w:r>
      <w:r w:rsidR="008F4CD2" w:rsidRPr="00246F45">
        <w:rPr>
          <w:rStyle w:val="rvts82"/>
          <w:color w:val="000000" w:themeColor="text1"/>
          <w:sz w:val="28"/>
          <w:szCs w:val="28"/>
          <w:lang w:val="uk-UA"/>
        </w:rPr>
        <w:t xml:space="preserve">(для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фізичної особи</w:t>
      </w:r>
      <w:r w:rsidR="008F4CD2" w:rsidRPr="00246F45">
        <w:rPr>
          <w:rStyle w:val="rvts82"/>
          <w:color w:val="000000" w:themeColor="text1"/>
          <w:sz w:val="28"/>
          <w:szCs w:val="28"/>
          <w:lang w:val="uk-UA"/>
        </w:rPr>
        <w:t>)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та відповідно код за ЄДРПОУ, код ЄДРІСІ, реєстраційний номер облікової картки </w:t>
      </w:r>
      <w:r w:rsidR="00532FF5">
        <w:rPr>
          <w:rStyle w:val="rvts82"/>
          <w:color w:val="000000" w:themeColor="text1"/>
          <w:sz w:val="28"/>
          <w:szCs w:val="28"/>
          <w:lang w:val="uk-UA"/>
        </w:rPr>
        <w:t xml:space="preserve">платника податку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або серія та номер паспорта. </w:t>
      </w:r>
    </w:p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 w:rsidRPr="00246F45">
        <w:rPr>
          <w:rStyle w:val="rvts82"/>
          <w:color w:val="000000" w:themeColor="text1"/>
          <w:sz w:val="28"/>
          <w:szCs w:val="28"/>
          <w:lang w:val="uk-UA"/>
        </w:rPr>
        <w:t xml:space="preserve">Якщо </w:t>
      </w:r>
      <w:r w:rsidR="00DB1DC7" w:rsidRPr="00246F45">
        <w:rPr>
          <w:rStyle w:val="rvts82"/>
          <w:color w:val="000000" w:themeColor="text1"/>
          <w:sz w:val="28"/>
          <w:szCs w:val="28"/>
          <w:lang w:val="uk-UA"/>
        </w:rPr>
        <w:t>контрагентом</w:t>
      </w:r>
      <w:r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виступає нерезидент</w:t>
      </w:r>
      <w:r w:rsidR="00043533" w:rsidRPr="00246F45">
        <w:rPr>
          <w:rStyle w:val="rvts82"/>
          <w:color w:val="000000" w:themeColor="text1"/>
          <w:sz w:val="28"/>
          <w:szCs w:val="28"/>
          <w:lang w:val="uk-UA"/>
        </w:rPr>
        <w:t>,</w:t>
      </w:r>
      <w:r w:rsidRPr="00246F45">
        <w:rPr>
          <w:rStyle w:val="rvts82"/>
          <w:color w:val="000000" w:themeColor="text1"/>
          <w:sz w:val="28"/>
          <w:szCs w:val="28"/>
          <w:lang w:val="uk-UA"/>
        </w:rPr>
        <w:t xml:space="preserve"> у графі 8 зазначається найменування нерезидента, у графі 9 </w:t>
      </w:r>
      <w:r w:rsidR="00043533" w:rsidRPr="00246F45">
        <w:rPr>
          <w:rStyle w:val="rvts82"/>
          <w:color w:val="000000" w:themeColor="text1"/>
          <w:sz w:val="28"/>
          <w:szCs w:val="28"/>
          <w:lang w:val="uk-UA"/>
        </w:rPr>
        <w:t xml:space="preserve">- </w:t>
      </w:r>
      <w:r w:rsidRPr="00246F45">
        <w:rPr>
          <w:rStyle w:val="rvts82"/>
          <w:color w:val="000000" w:themeColor="text1"/>
          <w:sz w:val="28"/>
          <w:szCs w:val="28"/>
          <w:lang w:val="uk-UA"/>
        </w:rPr>
        <w:t>код нерезидента у країні реєстрації.</w:t>
      </w:r>
    </w:p>
    <w:p w:rsidR="007C7FED" w:rsidRDefault="007C7FED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</w:p>
    <w:p w:rsidR="00256585" w:rsidRPr="00246F45" w:rsidRDefault="000A15E5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>
        <w:rPr>
          <w:rStyle w:val="rvts82"/>
          <w:color w:val="000000" w:themeColor="text1"/>
          <w:sz w:val="28"/>
          <w:szCs w:val="28"/>
          <w:lang w:val="uk-UA"/>
        </w:rPr>
        <w:t xml:space="preserve">9.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У графах 10 та 11 щодо </w:t>
      </w:r>
      <w:r w:rsidR="00256585" w:rsidRPr="00131102">
        <w:rPr>
          <w:rStyle w:val="rvts82"/>
          <w:color w:val="000000" w:themeColor="text1"/>
          <w:sz w:val="28"/>
          <w:szCs w:val="28"/>
          <w:lang w:val="uk-UA"/>
        </w:rPr>
        <w:t>третьої сторони (клієнта контрагента)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зазнача</w:t>
      </w:r>
      <w:r w:rsidR="00FA3202" w:rsidRPr="00246F45">
        <w:rPr>
          <w:rStyle w:val="rvts82"/>
          <w:color w:val="000000" w:themeColor="text1"/>
          <w:sz w:val="28"/>
          <w:szCs w:val="28"/>
          <w:lang w:val="uk-UA"/>
        </w:rPr>
        <w:t>ю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ться найменування юридичної особи або прізвище, ім’я, по</w:t>
      </w:r>
      <w:r w:rsidR="00276FBD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батькові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lastRenderedPageBreak/>
        <w:t xml:space="preserve">фізичної особи та відповідно код за ЄДРПОУ, код ЄДРІСІ, реєстраційний номер облікової картки </w:t>
      </w:r>
      <w:r w:rsidR="007C7FED">
        <w:rPr>
          <w:rStyle w:val="rvts82"/>
          <w:color w:val="000000" w:themeColor="text1"/>
          <w:sz w:val="28"/>
          <w:szCs w:val="28"/>
          <w:lang w:val="uk-UA"/>
        </w:rPr>
        <w:t xml:space="preserve">платника податку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або серія та номер паспорта. </w:t>
      </w:r>
    </w:p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 w:rsidRPr="00246F45">
        <w:rPr>
          <w:rStyle w:val="rvts82"/>
          <w:color w:val="000000" w:themeColor="text1"/>
          <w:sz w:val="28"/>
          <w:szCs w:val="28"/>
          <w:lang w:val="uk-UA"/>
        </w:rPr>
        <w:t>Якщо третьою стороною виступає нерезидент</w:t>
      </w:r>
      <w:r w:rsidR="00276FBD" w:rsidRPr="00246F45">
        <w:rPr>
          <w:rStyle w:val="rvts82"/>
          <w:color w:val="000000" w:themeColor="text1"/>
          <w:sz w:val="28"/>
          <w:szCs w:val="28"/>
          <w:lang w:val="uk-UA"/>
        </w:rPr>
        <w:t>,</w:t>
      </w:r>
      <w:r w:rsidRPr="00246F45">
        <w:rPr>
          <w:rStyle w:val="rvts82"/>
          <w:color w:val="000000" w:themeColor="text1"/>
          <w:sz w:val="28"/>
          <w:szCs w:val="28"/>
          <w:lang w:val="uk-UA"/>
        </w:rPr>
        <w:t xml:space="preserve"> у графі 10 зазначається найменування нерезидента, у графі 11 </w:t>
      </w:r>
      <w:r w:rsidR="00276FBD" w:rsidRPr="00246F45">
        <w:rPr>
          <w:rStyle w:val="rvts82"/>
          <w:color w:val="000000" w:themeColor="text1"/>
          <w:sz w:val="28"/>
          <w:szCs w:val="28"/>
          <w:lang w:val="uk-UA"/>
        </w:rPr>
        <w:t xml:space="preserve">- </w:t>
      </w:r>
      <w:r w:rsidRPr="00246F45">
        <w:rPr>
          <w:rStyle w:val="rvts82"/>
          <w:color w:val="000000" w:themeColor="text1"/>
          <w:sz w:val="28"/>
          <w:szCs w:val="28"/>
          <w:lang w:val="uk-UA"/>
        </w:rPr>
        <w:t>код нерезидента у країні реєстрації.</w:t>
      </w:r>
    </w:p>
    <w:p w:rsidR="00367E2F" w:rsidRPr="00246F45" w:rsidRDefault="00367E2F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</w:p>
    <w:p w:rsidR="00256585" w:rsidRPr="00246F45" w:rsidRDefault="000A15E5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>
        <w:rPr>
          <w:rStyle w:val="rvts82"/>
          <w:color w:val="000000" w:themeColor="text1"/>
          <w:sz w:val="28"/>
          <w:szCs w:val="28"/>
          <w:lang w:val="uk-UA"/>
        </w:rPr>
        <w:t xml:space="preserve">10.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У графі 12 «Вид операції» зазначається код операції згідно </w:t>
      </w:r>
      <w:r w:rsidR="009B1012" w:rsidRPr="00246F45">
        <w:rPr>
          <w:rStyle w:val="rvts82"/>
          <w:color w:val="000000" w:themeColor="text1"/>
          <w:sz w:val="28"/>
          <w:szCs w:val="28"/>
          <w:lang w:val="uk-UA"/>
        </w:rPr>
        <w:t xml:space="preserve">з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таблиц</w:t>
      </w:r>
      <w:r w:rsidR="009B1012" w:rsidRPr="00246F45">
        <w:rPr>
          <w:rStyle w:val="rvts82"/>
          <w:color w:val="000000" w:themeColor="text1"/>
          <w:sz w:val="28"/>
          <w:szCs w:val="28"/>
          <w:lang w:val="uk-UA"/>
        </w:rPr>
        <w:t>ею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«Види операцій»</w:t>
      </w:r>
      <w:r w:rsidR="009B1012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</w:t>
      </w:r>
      <w:r w:rsidR="007C7EE4">
        <w:rPr>
          <w:rStyle w:val="rvts82"/>
          <w:color w:val="000000" w:themeColor="text1"/>
          <w:sz w:val="28"/>
          <w:szCs w:val="28"/>
          <w:lang w:val="uk-UA"/>
        </w:rPr>
        <w:t xml:space="preserve">пункту 10 </w:t>
      </w:r>
      <w:r w:rsidR="00256585" w:rsidRPr="007C7EE4">
        <w:rPr>
          <w:color w:val="000000" w:themeColor="text1"/>
          <w:sz w:val="28"/>
          <w:szCs w:val="28"/>
          <w:lang w:val="uk-UA"/>
        </w:rPr>
        <w:t>глав</w:t>
      </w:r>
      <w:r w:rsidR="009B1012" w:rsidRPr="007C7EE4">
        <w:rPr>
          <w:color w:val="000000" w:themeColor="text1"/>
          <w:sz w:val="28"/>
          <w:szCs w:val="28"/>
          <w:lang w:val="uk-UA"/>
        </w:rPr>
        <w:t>и</w:t>
      </w:r>
      <w:r w:rsidR="00256585" w:rsidRPr="007C7EE4">
        <w:rPr>
          <w:color w:val="000000" w:themeColor="text1"/>
          <w:sz w:val="28"/>
          <w:szCs w:val="28"/>
          <w:lang w:val="uk-UA"/>
        </w:rPr>
        <w:t xml:space="preserve"> </w:t>
      </w:r>
      <w:r w:rsidR="009B1012" w:rsidRPr="007C7EE4">
        <w:rPr>
          <w:color w:val="000000" w:themeColor="text1"/>
          <w:sz w:val="28"/>
          <w:szCs w:val="28"/>
          <w:lang w:val="uk-UA"/>
        </w:rPr>
        <w:t>2</w:t>
      </w:r>
      <w:r w:rsidR="00256585" w:rsidRPr="007C7EE4">
        <w:rPr>
          <w:color w:val="000000" w:themeColor="text1"/>
          <w:sz w:val="28"/>
          <w:szCs w:val="28"/>
          <w:lang w:val="uk-UA"/>
        </w:rPr>
        <w:t xml:space="preserve"> цього розділу</w:t>
      </w:r>
      <w:r w:rsidR="00256585" w:rsidRPr="00ED4989">
        <w:rPr>
          <w:color w:val="000000" w:themeColor="text1"/>
          <w:sz w:val="28"/>
          <w:szCs w:val="28"/>
          <w:lang w:val="uk-UA"/>
        </w:rPr>
        <w:t>.</w:t>
      </w:r>
    </w:p>
    <w:p w:rsidR="00256585" w:rsidRPr="00246F45" w:rsidRDefault="00256585" w:rsidP="00BA33B3">
      <w:pPr>
        <w:ind w:firstLine="851"/>
        <w:jc w:val="both"/>
        <w:rPr>
          <w:color w:val="000000" w:themeColor="text1"/>
          <w:sz w:val="28"/>
          <w:szCs w:val="28"/>
        </w:rPr>
      </w:pPr>
    </w:p>
    <w:p w:rsidR="00256585" w:rsidRPr="00246F45" w:rsidRDefault="000A15E5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>
        <w:rPr>
          <w:rStyle w:val="rvts82"/>
          <w:color w:val="000000" w:themeColor="text1"/>
          <w:sz w:val="28"/>
          <w:szCs w:val="28"/>
          <w:lang w:val="uk-UA"/>
        </w:rPr>
        <w:t xml:space="preserve">11.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У графі 13 «</w:t>
      </w:r>
      <w:r w:rsidR="00256585" w:rsidRPr="00246F45">
        <w:rPr>
          <w:color w:val="000000" w:themeColor="text1"/>
          <w:sz w:val="28"/>
          <w:szCs w:val="28"/>
          <w:lang w:val="uk-UA"/>
        </w:rPr>
        <w:t>Дата переходу прав власності/дата виконання деривативу (контракту)»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зазначається дата переходу прав власності на цінні папери/дата виконання контракту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відповідно до форми проведення розрахунку, код якої  визначено у таблиці «Форми проведення розрахунку» </w:t>
      </w:r>
      <w:r w:rsidR="002652B8">
        <w:rPr>
          <w:color w:val="000000" w:themeColor="text1"/>
          <w:sz w:val="28"/>
          <w:szCs w:val="28"/>
          <w:lang w:val="uk-UA"/>
        </w:rPr>
        <w:t>пункту 21 глави 2 цього розділу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.</w:t>
      </w:r>
    </w:p>
    <w:p w:rsidR="00EC3070" w:rsidRPr="00246F45" w:rsidRDefault="00EC3070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56585" w:rsidRPr="00246F45" w:rsidRDefault="000A15E5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12. 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У графі 14 «Дата зарахування коштів» зазначається дата зарахування грошових коштів на баланс платника, у тому числі у разі здійснення часткового зарахування грошових коштів (передплата) відповідно до форми проведення розрахунку, код якої визначено у таблиці «Форми проведення розрахунку» </w:t>
      </w:r>
      <w:r w:rsidR="007C7EE4">
        <w:rPr>
          <w:color w:val="000000" w:themeColor="text1"/>
          <w:sz w:val="28"/>
          <w:szCs w:val="28"/>
          <w:lang w:val="uk-UA"/>
        </w:rPr>
        <w:t>пункту 21 глави 2 цього розділу</w:t>
      </w:r>
      <w:r w:rsidR="00256585" w:rsidRPr="00246F45">
        <w:rPr>
          <w:color w:val="000000" w:themeColor="text1"/>
          <w:sz w:val="28"/>
          <w:szCs w:val="28"/>
          <w:lang w:val="uk-UA"/>
        </w:rPr>
        <w:t>.</w:t>
      </w:r>
    </w:p>
    <w:p w:rsidR="00EC3070" w:rsidRPr="00246F45" w:rsidRDefault="00EC3070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56585" w:rsidRPr="00246F45" w:rsidRDefault="000A15E5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13. </w:t>
      </w:r>
      <w:r w:rsidR="00256585" w:rsidRPr="00246F45">
        <w:rPr>
          <w:color w:val="000000" w:themeColor="text1"/>
          <w:sz w:val="28"/>
          <w:szCs w:val="28"/>
          <w:lang w:val="uk-UA"/>
        </w:rPr>
        <w:t>У графах 15-17 «Сума за операцією з відчуження цінних паперів/</w:t>
      </w:r>
      <w:r w:rsidR="00214834">
        <w:rPr>
          <w:color w:val="000000" w:themeColor="text1"/>
          <w:sz w:val="28"/>
          <w:szCs w:val="28"/>
          <w:lang w:val="uk-UA"/>
        </w:rPr>
        <w:t xml:space="preserve">операцією з </w:t>
      </w:r>
      <w:r w:rsidR="00256585" w:rsidRPr="00246F45">
        <w:rPr>
          <w:color w:val="000000" w:themeColor="text1"/>
          <w:sz w:val="28"/>
          <w:szCs w:val="28"/>
          <w:lang w:val="uk-UA"/>
        </w:rPr>
        <w:t>дериватив</w:t>
      </w:r>
      <w:r w:rsidR="00214834">
        <w:rPr>
          <w:color w:val="000000" w:themeColor="text1"/>
          <w:sz w:val="28"/>
          <w:szCs w:val="28"/>
          <w:lang w:val="uk-UA"/>
        </w:rPr>
        <w:t>ами,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56585" w:rsidRPr="00246F45">
        <w:rPr>
          <w:color w:val="000000" w:themeColor="text1"/>
          <w:sz w:val="28"/>
          <w:szCs w:val="28"/>
          <w:lang w:val="uk-UA"/>
        </w:rPr>
        <w:t>грн</w:t>
      </w:r>
      <w:proofErr w:type="spellEnd"/>
      <w:r w:rsidR="00256585" w:rsidRPr="00246F45">
        <w:rPr>
          <w:color w:val="000000" w:themeColor="text1"/>
          <w:sz w:val="28"/>
          <w:szCs w:val="28"/>
          <w:lang w:val="uk-UA"/>
        </w:rPr>
        <w:t xml:space="preserve">» зазначається сума згідно </w:t>
      </w:r>
      <w:r w:rsidR="00725390" w:rsidRPr="00246F45">
        <w:rPr>
          <w:color w:val="000000" w:themeColor="text1"/>
          <w:sz w:val="28"/>
          <w:szCs w:val="28"/>
          <w:lang w:val="uk-UA"/>
        </w:rPr>
        <w:t xml:space="preserve">з </w:t>
      </w:r>
      <w:r w:rsidR="00256585" w:rsidRPr="00246F45">
        <w:rPr>
          <w:color w:val="000000" w:themeColor="text1"/>
          <w:sz w:val="28"/>
          <w:szCs w:val="28"/>
          <w:lang w:val="uk-UA"/>
        </w:rPr>
        <w:t>умов</w:t>
      </w:r>
      <w:r w:rsidR="00725390" w:rsidRPr="00246F45">
        <w:rPr>
          <w:color w:val="000000" w:themeColor="text1"/>
          <w:sz w:val="28"/>
          <w:szCs w:val="28"/>
          <w:lang w:val="uk-UA"/>
        </w:rPr>
        <w:t>ами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договору/контракту за операцією з відчуження цінних паперів/деривативів, що є базою оподаткування, у розрізі сум за ставками оподаткування (0,1 відсот</w:t>
      </w:r>
      <w:r w:rsidR="00725390" w:rsidRPr="00246F45">
        <w:rPr>
          <w:color w:val="000000" w:themeColor="text1"/>
          <w:sz w:val="28"/>
          <w:szCs w:val="28"/>
          <w:lang w:val="uk-UA"/>
        </w:rPr>
        <w:t>ка</w:t>
      </w:r>
      <w:r w:rsidR="00256585" w:rsidRPr="00246F45">
        <w:rPr>
          <w:color w:val="000000" w:themeColor="text1"/>
          <w:sz w:val="28"/>
          <w:szCs w:val="28"/>
          <w:lang w:val="uk-UA"/>
        </w:rPr>
        <w:t>, 1,5 відсотка, 5 неоподатковуваних мінімумів доходів громадян).</w:t>
      </w:r>
    </w:p>
    <w:p w:rsidR="003B6E48" w:rsidRDefault="003B6E48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56585" w:rsidRPr="00246F45" w:rsidRDefault="000A15E5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14. 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Сума особливого податку у гривнях зазначається у графах 18-20 згідно </w:t>
      </w:r>
      <w:r w:rsidR="00EF0A7C" w:rsidRPr="00246F45">
        <w:rPr>
          <w:color w:val="000000" w:themeColor="text1"/>
          <w:sz w:val="28"/>
          <w:szCs w:val="28"/>
          <w:lang w:val="uk-UA"/>
        </w:rPr>
        <w:t>зі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встановлени</w:t>
      </w:r>
      <w:r w:rsidR="00EF0A7C" w:rsidRPr="00246F45">
        <w:rPr>
          <w:color w:val="000000" w:themeColor="text1"/>
          <w:sz w:val="28"/>
          <w:szCs w:val="28"/>
          <w:lang w:val="uk-UA"/>
        </w:rPr>
        <w:t>ми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став</w:t>
      </w:r>
      <w:r w:rsidR="00EF0A7C" w:rsidRPr="00246F45">
        <w:rPr>
          <w:color w:val="000000" w:themeColor="text1"/>
          <w:sz w:val="28"/>
          <w:szCs w:val="28"/>
          <w:lang w:val="uk-UA"/>
        </w:rPr>
        <w:t>ками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податку відповідно до кожної операції з відчуження цінних паперів, операцій з деривативами поза фондовою біржею.</w:t>
      </w:r>
    </w:p>
    <w:p w:rsidR="00EC3070" w:rsidRPr="00246F45" w:rsidRDefault="00EC3070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56585" w:rsidRPr="00246F45" w:rsidRDefault="000A15E5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15. 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У графі 21 «Перебування в біржовому реєстрі («1» - так, «2» - ні)» зазначається наявність або відсутність </w:t>
      </w:r>
      <w:r w:rsidR="00AF6005">
        <w:rPr>
          <w:color w:val="000000" w:themeColor="text1"/>
          <w:sz w:val="28"/>
          <w:szCs w:val="28"/>
          <w:lang w:val="uk-UA"/>
        </w:rPr>
        <w:t>у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біржовому реєстрі цінних паперів на дату операції</w:t>
      </w:r>
      <w:r w:rsidR="00695333" w:rsidRPr="00246F45">
        <w:rPr>
          <w:color w:val="000000" w:themeColor="text1"/>
          <w:sz w:val="28"/>
          <w:szCs w:val="28"/>
          <w:lang w:val="uk-UA"/>
        </w:rPr>
        <w:t xml:space="preserve"> з відчуження цінних паперів та операцій з деривативами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. </w:t>
      </w:r>
    </w:p>
    <w:p w:rsidR="00EC3070" w:rsidRPr="00246F45" w:rsidRDefault="00EC3070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56585" w:rsidRPr="00246F45" w:rsidRDefault="000A15E5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16. 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У графі 22 «Код за ЄДРПОУ фондової біржі» зазначається код за ЄДРПОУ фондової біржі, у біржовому реєстрі якої знаходяться цінні папери, що відчужуються. </w:t>
      </w:r>
    </w:p>
    <w:p w:rsidR="00EC3070" w:rsidRPr="00246F45" w:rsidRDefault="00EC3070" w:rsidP="00BA33B3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256585" w:rsidRPr="00246F45" w:rsidRDefault="000A15E5" w:rsidP="00BA33B3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 </w:t>
      </w:r>
      <w:r w:rsidR="00256585" w:rsidRPr="00246F45">
        <w:rPr>
          <w:color w:val="000000" w:themeColor="text1"/>
          <w:sz w:val="28"/>
          <w:szCs w:val="28"/>
        </w:rPr>
        <w:t>У графах 23</w:t>
      </w:r>
      <w:r w:rsidR="008418CD">
        <w:rPr>
          <w:color w:val="000000" w:themeColor="text1"/>
          <w:sz w:val="28"/>
          <w:szCs w:val="28"/>
        </w:rPr>
        <w:t xml:space="preserve"> та </w:t>
      </w:r>
      <w:r w:rsidR="00256585" w:rsidRPr="00246F45">
        <w:rPr>
          <w:color w:val="000000" w:themeColor="text1"/>
          <w:sz w:val="28"/>
          <w:szCs w:val="28"/>
        </w:rPr>
        <w:t>24 «Особа, що розмістила (видала) фінансовий інструмент» зазнача</w:t>
      </w:r>
      <w:r w:rsidR="00C845C1" w:rsidRPr="00246F45">
        <w:rPr>
          <w:color w:val="000000" w:themeColor="text1"/>
          <w:sz w:val="28"/>
          <w:szCs w:val="28"/>
        </w:rPr>
        <w:t>ю</w:t>
      </w:r>
      <w:r w:rsidR="00256585" w:rsidRPr="00246F45">
        <w:rPr>
          <w:color w:val="000000" w:themeColor="text1"/>
          <w:sz w:val="28"/>
          <w:szCs w:val="28"/>
        </w:rPr>
        <w:t xml:space="preserve">ться найменування юридичної особи або </w:t>
      </w:r>
      <w:r w:rsidR="00256585" w:rsidRPr="00246F45">
        <w:rPr>
          <w:rStyle w:val="rvts82"/>
          <w:color w:val="000000" w:themeColor="text1"/>
          <w:sz w:val="28"/>
          <w:szCs w:val="28"/>
        </w:rPr>
        <w:t>прізвище, ім’я, по</w:t>
      </w:r>
      <w:r w:rsidR="00C845C1" w:rsidRPr="00246F45">
        <w:rPr>
          <w:rStyle w:val="rvts82"/>
          <w:color w:val="000000" w:themeColor="text1"/>
          <w:sz w:val="28"/>
          <w:szCs w:val="28"/>
        </w:rPr>
        <w:t xml:space="preserve"> </w:t>
      </w:r>
      <w:r w:rsidR="00256585" w:rsidRPr="00246F45">
        <w:rPr>
          <w:rStyle w:val="rvts82"/>
          <w:color w:val="000000" w:themeColor="text1"/>
          <w:sz w:val="28"/>
          <w:szCs w:val="28"/>
        </w:rPr>
        <w:t xml:space="preserve">батькові фізичної особи та відповідно код за ЄДРПОУ, код ЄДРІСІ, реєстраційний номер облікової картки </w:t>
      </w:r>
      <w:r w:rsidR="00171FFB">
        <w:rPr>
          <w:rStyle w:val="rvts82"/>
          <w:color w:val="000000" w:themeColor="text1"/>
          <w:sz w:val="28"/>
          <w:szCs w:val="28"/>
        </w:rPr>
        <w:t xml:space="preserve">платника податку </w:t>
      </w:r>
      <w:r w:rsidR="00256585" w:rsidRPr="00246F45">
        <w:rPr>
          <w:rStyle w:val="rvts82"/>
          <w:color w:val="000000" w:themeColor="text1"/>
          <w:sz w:val="28"/>
          <w:szCs w:val="28"/>
        </w:rPr>
        <w:t>або серія та номер паспорта</w:t>
      </w:r>
      <w:r w:rsidR="00256585" w:rsidRPr="00246F45">
        <w:rPr>
          <w:color w:val="000000" w:themeColor="text1"/>
          <w:sz w:val="28"/>
          <w:szCs w:val="28"/>
        </w:rPr>
        <w:t xml:space="preserve">. </w:t>
      </w:r>
    </w:p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 w:rsidRPr="00246F45">
        <w:rPr>
          <w:rStyle w:val="rvts82"/>
          <w:color w:val="000000" w:themeColor="text1"/>
          <w:sz w:val="28"/>
          <w:szCs w:val="28"/>
          <w:lang w:val="uk-UA"/>
        </w:rPr>
        <w:lastRenderedPageBreak/>
        <w:t xml:space="preserve">Якщо </w:t>
      </w:r>
      <w:r w:rsidRPr="00246F45">
        <w:rPr>
          <w:color w:val="000000" w:themeColor="text1"/>
          <w:sz w:val="28"/>
          <w:szCs w:val="28"/>
          <w:lang w:val="uk-UA"/>
        </w:rPr>
        <w:t>особою, що розмістила (видала) фінансовий інструмент,</w:t>
      </w:r>
      <w:r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виступає нерезидент</w:t>
      </w:r>
      <w:r w:rsidR="00791A11" w:rsidRPr="00246F45">
        <w:rPr>
          <w:rStyle w:val="rvts82"/>
          <w:color w:val="000000" w:themeColor="text1"/>
          <w:sz w:val="28"/>
          <w:szCs w:val="28"/>
          <w:lang w:val="uk-UA"/>
        </w:rPr>
        <w:t>,</w:t>
      </w:r>
      <w:r w:rsidRPr="00246F45">
        <w:rPr>
          <w:rStyle w:val="rvts82"/>
          <w:color w:val="000000" w:themeColor="text1"/>
          <w:sz w:val="28"/>
          <w:szCs w:val="28"/>
          <w:lang w:val="uk-UA"/>
        </w:rPr>
        <w:t xml:space="preserve"> у графі 23 зазначається код нерезидента у країні реєстрації, у графі 24 </w:t>
      </w:r>
      <w:r w:rsidR="00791A11" w:rsidRPr="00246F45">
        <w:rPr>
          <w:rStyle w:val="rvts82"/>
          <w:color w:val="000000" w:themeColor="text1"/>
          <w:sz w:val="28"/>
          <w:szCs w:val="28"/>
          <w:lang w:val="uk-UA"/>
        </w:rPr>
        <w:t xml:space="preserve">- </w:t>
      </w:r>
      <w:r w:rsidRPr="00246F45">
        <w:rPr>
          <w:rStyle w:val="rvts82"/>
          <w:color w:val="000000" w:themeColor="text1"/>
          <w:sz w:val="28"/>
          <w:szCs w:val="28"/>
          <w:lang w:val="uk-UA"/>
        </w:rPr>
        <w:t>найменування нерезидента.</w:t>
      </w:r>
    </w:p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56585" w:rsidRPr="00246F45" w:rsidRDefault="000A15E5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18. </w:t>
      </w:r>
      <w:r w:rsidR="00256585" w:rsidRPr="00246F45">
        <w:rPr>
          <w:color w:val="000000" w:themeColor="text1"/>
          <w:sz w:val="28"/>
          <w:szCs w:val="28"/>
          <w:lang w:val="uk-UA"/>
        </w:rPr>
        <w:t>У графах 25</w:t>
      </w:r>
      <w:r w:rsidR="008418CD">
        <w:rPr>
          <w:color w:val="000000" w:themeColor="text1"/>
          <w:sz w:val="28"/>
          <w:szCs w:val="28"/>
          <w:lang w:val="uk-UA"/>
        </w:rPr>
        <w:t xml:space="preserve"> та 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26 </w:t>
      </w:r>
      <w:r w:rsidR="00DB1DC7" w:rsidRPr="00131102">
        <w:rPr>
          <w:color w:val="000000" w:themeColor="text1"/>
          <w:sz w:val="28"/>
          <w:szCs w:val="28"/>
          <w:lang w:val="uk-UA"/>
        </w:rPr>
        <w:t>«Особа, від імені якої сплачується особливий податок»</w:t>
      </w:r>
      <w:r w:rsidR="00DB1DC7" w:rsidRPr="00246F45">
        <w:rPr>
          <w:color w:val="000000" w:themeColor="text1"/>
          <w:sz w:val="28"/>
          <w:szCs w:val="28"/>
          <w:lang w:val="uk-UA"/>
        </w:rPr>
        <w:t xml:space="preserve"> </w:t>
      </w:r>
      <w:r w:rsidR="00256585" w:rsidRPr="00246F45">
        <w:rPr>
          <w:color w:val="000000" w:themeColor="text1"/>
          <w:sz w:val="28"/>
          <w:szCs w:val="28"/>
          <w:lang w:val="uk-UA"/>
        </w:rPr>
        <w:t>зазнача</w:t>
      </w:r>
      <w:r w:rsidR="00A925A0" w:rsidRPr="00246F45">
        <w:rPr>
          <w:color w:val="000000" w:themeColor="text1"/>
          <w:sz w:val="28"/>
          <w:szCs w:val="28"/>
          <w:lang w:val="uk-UA"/>
        </w:rPr>
        <w:t>ю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ться найменування юридичної особи або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прізвище, ім’я, по</w:t>
      </w:r>
      <w:r w:rsidR="00A925A0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 xml:space="preserve">батькові фізичної особи та відповідно код за ЄДРПОУ, код ЄДРІСІ, реєстраційний номер облікової картки </w:t>
      </w:r>
      <w:r w:rsidR="00171FFB">
        <w:rPr>
          <w:rStyle w:val="rvts82"/>
          <w:color w:val="000000" w:themeColor="text1"/>
          <w:sz w:val="28"/>
          <w:szCs w:val="28"/>
          <w:lang w:val="uk-UA"/>
        </w:rPr>
        <w:t xml:space="preserve">платника податку </w:t>
      </w:r>
      <w:r w:rsidR="00256585" w:rsidRPr="00246F45">
        <w:rPr>
          <w:rStyle w:val="rvts82"/>
          <w:color w:val="000000" w:themeColor="text1"/>
          <w:sz w:val="28"/>
          <w:szCs w:val="28"/>
          <w:lang w:val="uk-UA"/>
        </w:rPr>
        <w:t>або серія та номер паспорта.</w:t>
      </w:r>
    </w:p>
    <w:p w:rsidR="00256585" w:rsidRPr="00246F45" w:rsidRDefault="00256585" w:rsidP="00BA33B3">
      <w:pPr>
        <w:pStyle w:val="rvps14"/>
        <w:spacing w:before="0" w:beforeAutospacing="0" w:after="0" w:afterAutospacing="0"/>
        <w:ind w:firstLine="709"/>
        <w:jc w:val="both"/>
        <w:rPr>
          <w:rStyle w:val="rvts82"/>
          <w:color w:val="000000" w:themeColor="text1"/>
          <w:sz w:val="28"/>
          <w:szCs w:val="28"/>
          <w:lang w:val="uk-UA"/>
        </w:rPr>
      </w:pPr>
      <w:r w:rsidRPr="00246F45">
        <w:rPr>
          <w:rStyle w:val="rvts82"/>
          <w:color w:val="000000" w:themeColor="text1"/>
          <w:sz w:val="28"/>
          <w:szCs w:val="28"/>
          <w:lang w:val="uk-UA"/>
        </w:rPr>
        <w:t>Якщо особою, від імені якої сплачується особливий податок, виступає нерезидент</w:t>
      </w:r>
      <w:r w:rsidR="0029245E" w:rsidRPr="00246F45">
        <w:rPr>
          <w:rStyle w:val="rvts82"/>
          <w:color w:val="000000" w:themeColor="text1"/>
          <w:sz w:val="28"/>
          <w:szCs w:val="28"/>
          <w:lang w:val="uk-UA"/>
        </w:rPr>
        <w:t xml:space="preserve">, </w:t>
      </w:r>
      <w:r w:rsidRPr="00246F45">
        <w:rPr>
          <w:rStyle w:val="rvts82"/>
          <w:color w:val="000000" w:themeColor="text1"/>
          <w:sz w:val="28"/>
          <w:szCs w:val="28"/>
          <w:lang w:val="uk-UA"/>
        </w:rPr>
        <w:t xml:space="preserve"> у графі 25 зазначається код нерезидента у країні реєстрації, у графі 26</w:t>
      </w:r>
      <w:r w:rsidR="0029245E" w:rsidRPr="00246F45">
        <w:rPr>
          <w:rStyle w:val="rvts82"/>
          <w:color w:val="000000" w:themeColor="text1"/>
          <w:sz w:val="28"/>
          <w:szCs w:val="28"/>
          <w:lang w:val="uk-UA"/>
        </w:rPr>
        <w:t xml:space="preserve"> -</w:t>
      </w:r>
      <w:r w:rsidRPr="00246F45">
        <w:rPr>
          <w:rStyle w:val="rvts82"/>
          <w:color w:val="000000" w:themeColor="text1"/>
          <w:sz w:val="28"/>
          <w:szCs w:val="28"/>
          <w:lang w:val="uk-UA"/>
        </w:rPr>
        <w:t xml:space="preserve"> найменування нерезидента.</w:t>
      </w:r>
    </w:p>
    <w:p w:rsidR="000A15E5" w:rsidRDefault="000A15E5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56585" w:rsidRDefault="000A15E5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19. </w:t>
      </w:r>
      <w:r w:rsidR="00256585" w:rsidRPr="00246F45">
        <w:rPr>
          <w:color w:val="000000" w:themeColor="text1"/>
          <w:sz w:val="28"/>
          <w:szCs w:val="28"/>
          <w:lang w:val="uk-UA"/>
        </w:rPr>
        <w:t>У графі 27 «Форма проведення розрахунку» зазначається код розрахунку відповідно до таблиці «Форм</w:t>
      </w:r>
      <w:r w:rsidR="008712A3" w:rsidRPr="00246F45">
        <w:rPr>
          <w:color w:val="000000" w:themeColor="text1"/>
          <w:sz w:val="28"/>
          <w:szCs w:val="28"/>
          <w:lang w:val="uk-UA"/>
        </w:rPr>
        <w:t>и</w:t>
      </w:r>
      <w:r w:rsidR="00256585" w:rsidRPr="00246F45">
        <w:rPr>
          <w:color w:val="000000" w:themeColor="text1"/>
          <w:sz w:val="28"/>
          <w:szCs w:val="28"/>
          <w:lang w:val="uk-UA"/>
        </w:rPr>
        <w:t xml:space="preserve"> проведення розрахунку</w:t>
      </w:r>
      <w:r w:rsidR="00256585" w:rsidRPr="00ED4989">
        <w:rPr>
          <w:color w:val="000000" w:themeColor="text1"/>
          <w:sz w:val="28"/>
          <w:szCs w:val="28"/>
          <w:lang w:val="uk-UA"/>
        </w:rPr>
        <w:t xml:space="preserve">» </w:t>
      </w:r>
      <w:r w:rsidR="005F5C40">
        <w:rPr>
          <w:color w:val="000000" w:themeColor="text1"/>
          <w:sz w:val="28"/>
          <w:szCs w:val="28"/>
          <w:lang w:val="uk-UA"/>
        </w:rPr>
        <w:t xml:space="preserve">пункту 21 </w:t>
      </w:r>
      <w:r w:rsidR="00256585" w:rsidRPr="00ED4989">
        <w:rPr>
          <w:color w:val="000000" w:themeColor="text1"/>
          <w:sz w:val="28"/>
          <w:szCs w:val="28"/>
          <w:lang w:val="uk-UA"/>
        </w:rPr>
        <w:t>глав</w:t>
      </w:r>
      <w:r w:rsidR="00C17CB5" w:rsidRPr="00ED4989">
        <w:rPr>
          <w:color w:val="000000" w:themeColor="text1"/>
          <w:sz w:val="28"/>
          <w:szCs w:val="28"/>
          <w:lang w:val="uk-UA"/>
        </w:rPr>
        <w:t>и</w:t>
      </w:r>
      <w:r w:rsidR="00256585" w:rsidRPr="00ED4989">
        <w:rPr>
          <w:color w:val="000000" w:themeColor="text1"/>
          <w:sz w:val="28"/>
          <w:szCs w:val="28"/>
          <w:lang w:val="uk-UA"/>
        </w:rPr>
        <w:t xml:space="preserve"> </w:t>
      </w:r>
      <w:r w:rsidR="001312DE" w:rsidRPr="00ED4989">
        <w:rPr>
          <w:color w:val="000000" w:themeColor="text1"/>
          <w:sz w:val="28"/>
          <w:szCs w:val="28"/>
          <w:lang w:val="uk-UA"/>
        </w:rPr>
        <w:t>2</w:t>
      </w:r>
      <w:r w:rsidR="00256585" w:rsidRPr="00ED4989">
        <w:rPr>
          <w:color w:val="000000" w:themeColor="text1"/>
          <w:sz w:val="28"/>
          <w:szCs w:val="28"/>
          <w:lang w:val="uk-UA"/>
        </w:rPr>
        <w:t xml:space="preserve"> цього розділу.</w:t>
      </w:r>
    </w:p>
    <w:p w:rsidR="000A15E5" w:rsidRPr="00246F45" w:rsidRDefault="000A15E5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256585" w:rsidRPr="00246F45" w:rsidRDefault="000A15E5" w:rsidP="00BA33B3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20. </w:t>
      </w:r>
      <w:r w:rsidR="00256585" w:rsidRPr="00246F45">
        <w:rPr>
          <w:color w:val="000000" w:themeColor="text1"/>
          <w:sz w:val="28"/>
          <w:szCs w:val="28"/>
        </w:rPr>
        <w:t>Платник у додатку Д2 зазначає операції з відчуження ним (продаж, інші способи відчуження) цінних паперів та операцій з деривативами.</w:t>
      </w:r>
    </w:p>
    <w:p w:rsidR="00E44480" w:rsidRDefault="00E44480" w:rsidP="00BA33B3">
      <w:pPr>
        <w:jc w:val="center"/>
        <w:rPr>
          <w:b/>
          <w:color w:val="000000" w:themeColor="text1"/>
          <w:sz w:val="28"/>
          <w:szCs w:val="28"/>
        </w:rPr>
      </w:pPr>
    </w:p>
    <w:p w:rsidR="00F4672D" w:rsidRPr="00246F45" w:rsidRDefault="00F4672D" w:rsidP="00BA33B3">
      <w:pPr>
        <w:jc w:val="center"/>
        <w:rPr>
          <w:b/>
          <w:color w:val="000000" w:themeColor="text1"/>
          <w:sz w:val="28"/>
          <w:szCs w:val="28"/>
        </w:rPr>
      </w:pPr>
      <w:r w:rsidRPr="00246F45">
        <w:rPr>
          <w:b/>
          <w:color w:val="000000" w:themeColor="text1"/>
          <w:sz w:val="28"/>
          <w:szCs w:val="28"/>
        </w:rPr>
        <w:t>4. Порядок заповнення додатків Д3 «Уточнюючі розрахунки суми особливого податку за біржовими операціями з відчуження цінних паперів та операцій з деривативами», Д4  «Уточнюючі розрахунки суми особливого податку за позабіржовими операціями з відчуження цінних паперів та операцій з деривативами»</w:t>
      </w:r>
    </w:p>
    <w:p w:rsidR="00AB5D5F" w:rsidRPr="00246F45" w:rsidRDefault="00AB5D5F" w:rsidP="00BA33B3">
      <w:pPr>
        <w:jc w:val="both"/>
        <w:rPr>
          <w:b/>
          <w:color w:val="000000" w:themeColor="text1"/>
          <w:sz w:val="28"/>
          <w:szCs w:val="28"/>
        </w:rPr>
      </w:pPr>
    </w:p>
    <w:p w:rsidR="00F4672D" w:rsidRPr="00246F45" w:rsidRDefault="00F4672D" w:rsidP="00EC3070">
      <w:pPr>
        <w:pStyle w:val="a6"/>
        <w:ind w:firstLine="851"/>
        <w:jc w:val="both"/>
        <w:rPr>
          <w:color w:val="000000" w:themeColor="text1"/>
          <w:sz w:val="28"/>
          <w:szCs w:val="28"/>
        </w:rPr>
      </w:pPr>
      <w:r w:rsidRPr="00246F45">
        <w:rPr>
          <w:color w:val="000000" w:themeColor="text1"/>
          <w:sz w:val="28"/>
          <w:szCs w:val="28"/>
        </w:rPr>
        <w:t xml:space="preserve">1. Додатки Д3, Д4 </w:t>
      </w:r>
      <w:r w:rsidR="00B21149" w:rsidRPr="00246F45">
        <w:rPr>
          <w:color w:val="000000" w:themeColor="text1"/>
          <w:sz w:val="28"/>
          <w:szCs w:val="28"/>
        </w:rPr>
        <w:t>заповнюються з урахування</w:t>
      </w:r>
      <w:r w:rsidR="00423F49">
        <w:rPr>
          <w:color w:val="000000" w:themeColor="text1"/>
          <w:sz w:val="28"/>
          <w:szCs w:val="28"/>
        </w:rPr>
        <w:t>м</w:t>
      </w:r>
      <w:r w:rsidR="00B21149" w:rsidRPr="00246F45">
        <w:rPr>
          <w:color w:val="000000" w:themeColor="text1"/>
          <w:sz w:val="28"/>
          <w:szCs w:val="28"/>
        </w:rPr>
        <w:t xml:space="preserve"> порядку заповнення</w:t>
      </w:r>
      <w:r w:rsidRPr="00246F45">
        <w:rPr>
          <w:color w:val="000000" w:themeColor="text1"/>
          <w:sz w:val="28"/>
          <w:szCs w:val="28"/>
        </w:rPr>
        <w:t xml:space="preserve">, </w:t>
      </w:r>
      <w:r w:rsidRPr="00F37F94">
        <w:rPr>
          <w:color w:val="000000" w:themeColor="text1"/>
          <w:sz w:val="28"/>
          <w:szCs w:val="28"/>
        </w:rPr>
        <w:t>визначен</w:t>
      </w:r>
      <w:r w:rsidR="00B21149" w:rsidRPr="00F37F94">
        <w:rPr>
          <w:color w:val="000000" w:themeColor="text1"/>
          <w:sz w:val="28"/>
          <w:szCs w:val="28"/>
        </w:rPr>
        <w:t>ого</w:t>
      </w:r>
      <w:r w:rsidRPr="00F37F94">
        <w:rPr>
          <w:color w:val="000000" w:themeColor="text1"/>
          <w:sz w:val="28"/>
          <w:szCs w:val="28"/>
        </w:rPr>
        <w:t xml:space="preserve"> главами </w:t>
      </w:r>
      <w:r w:rsidR="00C97E83" w:rsidRPr="00F37F94">
        <w:rPr>
          <w:color w:val="000000" w:themeColor="text1"/>
          <w:sz w:val="28"/>
          <w:szCs w:val="28"/>
        </w:rPr>
        <w:t>2</w:t>
      </w:r>
      <w:r w:rsidRPr="00F37F94">
        <w:rPr>
          <w:color w:val="000000" w:themeColor="text1"/>
          <w:sz w:val="28"/>
          <w:szCs w:val="28"/>
        </w:rPr>
        <w:t xml:space="preserve">, </w:t>
      </w:r>
      <w:r w:rsidR="00C97E83" w:rsidRPr="00F37F94">
        <w:rPr>
          <w:color w:val="000000" w:themeColor="text1"/>
          <w:sz w:val="28"/>
          <w:szCs w:val="28"/>
        </w:rPr>
        <w:t>3</w:t>
      </w:r>
      <w:r w:rsidRPr="00F37F94">
        <w:rPr>
          <w:color w:val="000000" w:themeColor="text1"/>
          <w:sz w:val="28"/>
          <w:szCs w:val="28"/>
        </w:rPr>
        <w:t xml:space="preserve">  цього розділу відповідно</w:t>
      </w:r>
      <w:r w:rsidRPr="00246F45">
        <w:rPr>
          <w:color w:val="000000" w:themeColor="text1"/>
          <w:sz w:val="28"/>
          <w:szCs w:val="28"/>
        </w:rPr>
        <w:t>.</w:t>
      </w:r>
      <w:r w:rsidR="00E76EB7" w:rsidRPr="00E76EB7">
        <w:rPr>
          <w:color w:val="000000" w:themeColor="text1"/>
          <w:sz w:val="28"/>
          <w:szCs w:val="28"/>
        </w:rPr>
        <w:t xml:space="preserve"> </w:t>
      </w:r>
      <w:r w:rsidR="00E76EB7" w:rsidRPr="00246F45">
        <w:rPr>
          <w:color w:val="000000" w:themeColor="text1"/>
          <w:sz w:val="28"/>
          <w:szCs w:val="28"/>
        </w:rPr>
        <w:t>Графи у додатках Д3, Д4 заповнюються для операцій з цінними паперами та операцій з деривативами, які потребують уточнення.</w:t>
      </w:r>
    </w:p>
    <w:p w:rsidR="00F4672D" w:rsidRPr="00246F45" w:rsidRDefault="00F4672D" w:rsidP="00EC3070">
      <w:pPr>
        <w:pStyle w:val="a6"/>
        <w:ind w:firstLine="851"/>
        <w:jc w:val="both"/>
        <w:rPr>
          <w:color w:val="000000" w:themeColor="text1"/>
          <w:sz w:val="28"/>
          <w:szCs w:val="28"/>
        </w:rPr>
      </w:pPr>
    </w:p>
    <w:p w:rsidR="002D5B53" w:rsidRPr="00246F45" w:rsidRDefault="00F4672D" w:rsidP="003617CC">
      <w:pPr>
        <w:pStyle w:val="a6"/>
        <w:ind w:firstLine="851"/>
        <w:jc w:val="both"/>
        <w:rPr>
          <w:color w:val="000000" w:themeColor="text1"/>
          <w:sz w:val="28"/>
          <w:szCs w:val="28"/>
        </w:rPr>
      </w:pPr>
      <w:r w:rsidRPr="00246F45">
        <w:rPr>
          <w:color w:val="000000" w:themeColor="text1"/>
          <w:sz w:val="28"/>
          <w:szCs w:val="28"/>
        </w:rPr>
        <w:t>2. У графі 2 «Тип розрахунку» зазначається код типу розрахунку суми особливого податку за біржовими та позабіржовими операціями з відчуження цінних паперів та операці</w:t>
      </w:r>
      <w:r w:rsidR="008C4AC3" w:rsidRPr="00246F45">
        <w:rPr>
          <w:color w:val="000000" w:themeColor="text1"/>
          <w:sz w:val="28"/>
          <w:szCs w:val="28"/>
        </w:rPr>
        <w:t>й</w:t>
      </w:r>
      <w:r w:rsidRPr="00246F45">
        <w:rPr>
          <w:color w:val="000000" w:themeColor="text1"/>
          <w:sz w:val="28"/>
          <w:szCs w:val="28"/>
        </w:rPr>
        <w:t xml:space="preserve"> з деривативами відповідно до таблиці «Типи розрахунку».</w:t>
      </w:r>
    </w:p>
    <w:p w:rsidR="00F4672D" w:rsidRPr="00246F45" w:rsidRDefault="00F4672D" w:rsidP="00EC3070">
      <w:pPr>
        <w:pStyle w:val="a6"/>
        <w:ind w:firstLine="851"/>
        <w:jc w:val="right"/>
        <w:rPr>
          <w:color w:val="000000" w:themeColor="text1"/>
          <w:sz w:val="28"/>
          <w:szCs w:val="28"/>
        </w:rPr>
      </w:pPr>
      <w:r w:rsidRPr="00246F45">
        <w:rPr>
          <w:color w:val="000000" w:themeColor="text1"/>
          <w:sz w:val="28"/>
          <w:szCs w:val="28"/>
        </w:rPr>
        <w:t xml:space="preserve">Таблиця </w:t>
      </w:r>
    </w:p>
    <w:p w:rsidR="00F4672D" w:rsidRPr="00246F45" w:rsidRDefault="00F4672D" w:rsidP="00EC3070">
      <w:pPr>
        <w:pStyle w:val="a6"/>
        <w:ind w:firstLine="851"/>
        <w:jc w:val="center"/>
        <w:rPr>
          <w:color w:val="000000" w:themeColor="text1"/>
          <w:sz w:val="28"/>
          <w:szCs w:val="28"/>
        </w:rPr>
      </w:pPr>
      <w:r w:rsidRPr="00246F45">
        <w:rPr>
          <w:color w:val="000000" w:themeColor="text1"/>
          <w:sz w:val="28"/>
          <w:szCs w:val="28"/>
        </w:rPr>
        <w:t>Типи розрахунку</w:t>
      </w:r>
    </w:p>
    <w:p w:rsidR="00F4672D" w:rsidRPr="00246F45" w:rsidRDefault="00F4672D" w:rsidP="00EC3070">
      <w:pPr>
        <w:pStyle w:val="a6"/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352"/>
      </w:tblGrid>
      <w:tr w:rsidR="00F4672D" w:rsidRPr="00246F45" w:rsidTr="00051F9D">
        <w:tc>
          <w:tcPr>
            <w:tcW w:w="2660" w:type="dxa"/>
          </w:tcPr>
          <w:p w:rsidR="00F4672D" w:rsidRPr="00246F45" w:rsidRDefault="00F4672D" w:rsidP="00EC3070">
            <w:pPr>
              <w:pStyle w:val="rvps14"/>
              <w:spacing w:before="0" w:beforeAutospacing="0" w:after="0" w:afterAutospacing="0"/>
              <w:ind w:firstLine="85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Код типу</w:t>
            </w:r>
          </w:p>
        </w:tc>
        <w:tc>
          <w:tcPr>
            <w:tcW w:w="7352" w:type="dxa"/>
          </w:tcPr>
          <w:p w:rsidR="00F4672D" w:rsidRPr="00246F45" w:rsidRDefault="00F4672D" w:rsidP="00EC3070">
            <w:pPr>
              <w:pStyle w:val="rvps14"/>
              <w:spacing w:before="0" w:beforeAutospacing="0" w:after="0" w:afterAutospacing="0"/>
              <w:ind w:firstLine="85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Зміст типу</w:t>
            </w:r>
          </w:p>
        </w:tc>
      </w:tr>
      <w:tr w:rsidR="00F4672D" w:rsidRPr="00246F45" w:rsidTr="00051F9D">
        <w:tc>
          <w:tcPr>
            <w:tcW w:w="2660" w:type="dxa"/>
          </w:tcPr>
          <w:p w:rsidR="00F4672D" w:rsidRPr="00246F45" w:rsidRDefault="00F4672D" w:rsidP="00EC3070">
            <w:pPr>
              <w:pStyle w:val="rvps14"/>
              <w:spacing w:before="0" w:beforeAutospacing="0" w:after="0" w:afterAutospacing="0"/>
              <w:ind w:firstLine="85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011</w:t>
            </w:r>
          </w:p>
        </w:tc>
        <w:tc>
          <w:tcPr>
            <w:tcW w:w="7352" w:type="dxa"/>
          </w:tcPr>
          <w:p w:rsidR="00F4672D" w:rsidRPr="00246F45" w:rsidRDefault="00F4672D" w:rsidP="00EC3070">
            <w:pPr>
              <w:pStyle w:val="rvps14"/>
              <w:spacing w:before="0" w:beforeAutospacing="0" w:after="0" w:afterAutospacing="0"/>
              <w:ind w:firstLine="8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Звітний</w:t>
            </w:r>
          </w:p>
        </w:tc>
      </w:tr>
      <w:tr w:rsidR="00F4672D" w:rsidRPr="00246F45" w:rsidTr="00051F9D">
        <w:tc>
          <w:tcPr>
            <w:tcW w:w="2660" w:type="dxa"/>
          </w:tcPr>
          <w:p w:rsidR="00F4672D" w:rsidRPr="00246F45" w:rsidRDefault="00F4672D" w:rsidP="00EC3070">
            <w:pPr>
              <w:pStyle w:val="rvps14"/>
              <w:spacing w:before="0" w:beforeAutospacing="0" w:after="0" w:afterAutospacing="0"/>
              <w:ind w:firstLine="85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012</w:t>
            </w:r>
          </w:p>
        </w:tc>
        <w:tc>
          <w:tcPr>
            <w:tcW w:w="7352" w:type="dxa"/>
          </w:tcPr>
          <w:p w:rsidR="00F4672D" w:rsidRPr="00246F45" w:rsidRDefault="00F4672D" w:rsidP="00EC3070">
            <w:pPr>
              <w:pStyle w:val="rvps14"/>
              <w:spacing w:before="0" w:beforeAutospacing="0" w:after="0" w:afterAutospacing="0"/>
              <w:ind w:firstLine="8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Звітний новий</w:t>
            </w:r>
          </w:p>
        </w:tc>
      </w:tr>
      <w:tr w:rsidR="00F4672D" w:rsidRPr="00246F45" w:rsidTr="00051F9D">
        <w:tc>
          <w:tcPr>
            <w:tcW w:w="2660" w:type="dxa"/>
          </w:tcPr>
          <w:p w:rsidR="00F4672D" w:rsidRPr="00246F45" w:rsidRDefault="00F4672D" w:rsidP="00EC3070">
            <w:pPr>
              <w:pStyle w:val="rvps14"/>
              <w:spacing w:before="0" w:beforeAutospacing="0" w:after="0" w:afterAutospacing="0"/>
              <w:ind w:firstLine="85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013</w:t>
            </w:r>
          </w:p>
        </w:tc>
        <w:tc>
          <w:tcPr>
            <w:tcW w:w="7352" w:type="dxa"/>
          </w:tcPr>
          <w:p w:rsidR="00F4672D" w:rsidRPr="00246F45" w:rsidRDefault="00F4672D" w:rsidP="00EC3070">
            <w:pPr>
              <w:pStyle w:val="rvps14"/>
              <w:spacing w:before="0" w:beforeAutospacing="0" w:after="0" w:afterAutospacing="0"/>
              <w:ind w:firstLine="8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46F45">
              <w:rPr>
                <w:color w:val="000000" w:themeColor="text1"/>
                <w:sz w:val="28"/>
                <w:szCs w:val="28"/>
                <w:lang w:val="uk-UA"/>
              </w:rPr>
              <w:t>Уточнюючий</w:t>
            </w:r>
          </w:p>
        </w:tc>
      </w:tr>
    </w:tbl>
    <w:p w:rsidR="003F04B9" w:rsidRDefault="003F04B9" w:rsidP="00EC3070">
      <w:pPr>
        <w:pStyle w:val="rvps1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F4672D" w:rsidRPr="00246F45" w:rsidRDefault="00E76EB7" w:rsidP="00EC3070">
      <w:pPr>
        <w:pStyle w:val="rvps1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F4672D" w:rsidRPr="00246F45">
        <w:rPr>
          <w:color w:val="000000" w:themeColor="text1"/>
          <w:sz w:val="28"/>
          <w:szCs w:val="28"/>
          <w:lang w:val="uk-UA"/>
        </w:rPr>
        <w:t>. Щодо кожної операції з відчуження цінних паперів та операці</w:t>
      </w:r>
      <w:r w:rsidR="008C4AC3" w:rsidRPr="00246F45">
        <w:rPr>
          <w:color w:val="000000" w:themeColor="text1"/>
          <w:sz w:val="28"/>
          <w:szCs w:val="28"/>
          <w:lang w:val="uk-UA"/>
        </w:rPr>
        <w:t>й</w:t>
      </w:r>
      <w:r w:rsidR="00F4672D" w:rsidRPr="00246F45">
        <w:rPr>
          <w:color w:val="000000" w:themeColor="text1"/>
          <w:sz w:val="28"/>
          <w:szCs w:val="28"/>
          <w:lang w:val="uk-UA"/>
        </w:rPr>
        <w:t xml:space="preserve"> з деривативами при складанні додатків Д3, Д4 відобража</w:t>
      </w:r>
      <w:r w:rsidR="008C4AC3" w:rsidRPr="00246F45">
        <w:rPr>
          <w:color w:val="000000" w:themeColor="text1"/>
          <w:sz w:val="28"/>
          <w:szCs w:val="28"/>
          <w:lang w:val="uk-UA"/>
        </w:rPr>
        <w:t>ю</w:t>
      </w:r>
      <w:r w:rsidR="00F4672D" w:rsidRPr="00246F45">
        <w:rPr>
          <w:color w:val="000000" w:themeColor="text1"/>
          <w:sz w:val="28"/>
          <w:szCs w:val="28"/>
          <w:lang w:val="uk-UA"/>
        </w:rPr>
        <w:t>ться дв</w:t>
      </w:r>
      <w:r w:rsidR="008C4AC3" w:rsidRPr="00246F45">
        <w:rPr>
          <w:color w:val="000000" w:themeColor="text1"/>
          <w:sz w:val="28"/>
          <w:szCs w:val="28"/>
          <w:lang w:val="uk-UA"/>
        </w:rPr>
        <w:t>а</w:t>
      </w:r>
      <w:r w:rsidR="00F4672D" w:rsidRPr="00246F45">
        <w:rPr>
          <w:color w:val="000000" w:themeColor="text1"/>
          <w:sz w:val="28"/>
          <w:szCs w:val="28"/>
          <w:lang w:val="uk-UA"/>
        </w:rPr>
        <w:t xml:space="preserve"> </w:t>
      </w:r>
      <w:r w:rsidR="008C4AC3" w:rsidRPr="00246F45">
        <w:rPr>
          <w:color w:val="000000" w:themeColor="text1"/>
          <w:sz w:val="28"/>
          <w:szCs w:val="28"/>
          <w:lang w:val="uk-UA"/>
        </w:rPr>
        <w:t>рядки</w:t>
      </w:r>
      <w:r w:rsidR="00F4672D" w:rsidRPr="00246F45">
        <w:rPr>
          <w:color w:val="000000" w:themeColor="text1"/>
          <w:sz w:val="28"/>
          <w:szCs w:val="28"/>
          <w:lang w:val="uk-UA"/>
        </w:rPr>
        <w:t>: перш</w:t>
      </w:r>
      <w:r w:rsidR="008C4AC3" w:rsidRPr="00246F45">
        <w:rPr>
          <w:color w:val="000000" w:themeColor="text1"/>
          <w:sz w:val="28"/>
          <w:szCs w:val="28"/>
          <w:lang w:val="uk-UA"/>
        </w:rPr>
        <w:t>ий</w:t>
      </w:r>
      <w:r w:rsidR="00F4672D" w:rsidRPr="00246F45">
        <w:rPr>
          <w:color w:val="000000" w:themeColor="text1"/>
          <w:sz w:val="28"/>
          <w:szCs w:val="28"/>
          <w:lang w:val="uk-UA"/>
        </w:rPr>
        <w:t xml:space="preserve"> </w:t>
      </w:r>
      <w:r w:rsidR="00F4672D" w:rsidRPr="00246F45">
        <w:rPr>
          <w:color w:val="000000" w:themeColor="text1"/>
          <w:sz w:val="28"/>
          <w:szCs w:val="28"/>
          <w:lang w:val="uk-UA"/>
        </w:rPr>
        <w:lastRenderedPageBreak/>
        <w:t>– це розрахунки суми особливого податку відповідно до звітної (звітної нової) Декларації (код типу розрахунку – 011 або 012), друг</w:t>
      </w:r>
      <w:r w:rsidR="008C4AC3" w:rsidRPr="00246F45">
        <w:rPr>
          <w:color w:val="000000" w:themeColor="text1"/>
          <w:sz w:val="28"/>
          <w:szCs w:val="28"/>
          <w:lang w:val="uk-UA"/>
        </w:rPr>
        <w:t>ий</w:t>
      </w:r>
      <w:r w:rsidR="00F4672D" w:rsidRPr="00246F45">
        <w:rPr>
          <w:color w:val="000000" w:themeColor="text1"/>
          <w:sz w:val="28"/>
          <w:szCs w:val="28"/>
          <w:lang w:val="uk-UA"/>
        </w:rPr>
        <w:t xml:space="preserve"> – це уточнюючі суми розрахунку (код типу розрахунку – 013).</w:t>
      </w:r>
    </w:p>
    <w:p w:rsidR="00F4672D" w:rsidRPr="00246F45" w:rsidRDefault="00F4672D" w:rsidP="00EC3070">
      <w:pPr>
        <w:pStyle w:val="rvps1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46F45">
        <w:rPr>
          <w:color w:val="000000" w:themeColor="text1"/>
          <w:sz w:val="28"/>
          <w:szCs w:val="28"/>
          <w:lang w:val="uk-UA"/>
        </w:rPr>
        <w:t>Для необхідності складання уточнюючого розрахунку за базовий тип розрахунку береться звітний – 011 або тип розрахунку звітний новий – 012, у разі, якщо була подана звітна нова Декларація.</w:t>
      </w:r>
    </w:p>
    <w:p w:rsidR="003617CC" w:rsidRDefault="00F4672D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46F45">
        <w:rPr>
          <w:color w:val="000000" w:themeColor="text1"/>
          <w:sz w:val="28"/>
          <w:szCs w:val="28"/>
          <w:lang w:val="uk-UA"/>
        </w:rPr>
        <w:t>Зазначені дв</w:t>
      </w:r>
      <w:r w:rsidR="008C4AC3" w:rsidRPr="00246F45">
        <w:rPr>
          <w:color w:val="000000" w:themeColor="text1"/>
          <w:sz w:val="28"/>
          <w:szCs w:val="28"/>
          <w:lang w:val="uk-UA"/>
        </w:rPr>
        <w:t>а</w:t>
      </w:r>
      <w:r w:rsidRPr="00246F45">
        <w:rPr>
          <w:color w:val="000000" w:themeColor="text1"/>
          <w:sz w:val="28"/>
          <w:szCs w:val="28"/>
          <w:lang w:val="uk-UA"/>
        </w:rPr>
        <w:t xml:space="preserve"> </w:t>
      </w:r>
      <w:r w:rsidR="008C4AC3" w:rsidRPr="00246F45">
        <w:rPr>
          <w:color w:val="000000" w:themeColor="text1"/>
          <w:sz w:val="28"/>
          <w:szCs w:val="28"/>
          <w:lang w:val="uk-UA"/>
        </w:rPr>
        <w:t>рядки</w:t>
      </w:r>
      <w:r w:rsidRPr="00246F45">
        <w:rPr>
          <w:color w:val="000000" w:themeColor="text1"/>
          <w:sz w:val="28"/>
          <w:szCs w:val="28"/>
          <w:lang w:val="uk-UA"/>
        </w:rPr>
        <w:t xml:space="preserve"> повинні мати один порядковий номер, що відображається у графі 1 «№ з/п». </w:t>
      </w:r>
    </w:p>
    <w:p w:rsidR="00F4672D" w:rsidRDefault="00F4672D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46F45">
        <w:rPr>
          <w:color w:val="000000" w:themeColor="text1"/>
          <w:sz w:val="28"/>
          <w:szCs w:val="28"/>
          <w:lang w:val="uk-UA"/>
        </w:rPr>
        <w:t xml:space="preserve">  </w:t>
      </w:r>
    </w:p>
    <w:p w:rsidR="00AB5D5F" w:rsidRPr="00246F45" w:rsidRDefault="00AB5D5F" w:rsidP="00BA33B3">
      <w:pPr>
        <w:jc w:val="center"/>
        <w:rPr>
          <w:b/>
          <w:color w:val="000000" w:themeColor="text1"/>
          <w:sz w:val="28"/>
          <w:szCs w:val="28"/>
        </w:rPr>
      </w:pPr>
      <w:r w:rsidRPr="00246F45">
        <w:rPr>
          <w:b/>
          <w:color w:val="000000" w:themeColor="text1"/>
          <w:sz w:val="28"/>
          <w:szCs w:val="28"/>
        </w:rPr>
        <w:t>І</w:t>
      </w:r>
      <w:r w:rsidR="00891819" w:rsidRPr="00246F45">
        <w:rPr>
          <w:b/>
          <w:color w:val="000000" w:themeColor="text1"/>
          <w:sz w:val="28"/>
          <w:szCs w:val="28"/>
        </w:rPr>
        <w:t>І</w:t>
      </w:r>
      <w:r w:rsidRPr="00246F45">
        <w:rPr>
          <w:b/>
          <w:color w:val="000000" w:themeColor="text1"/>
          <w:sz w:val="28"/>
          <w:szCs w:val="28"/>
        </w:rPr>
        <w:t>. Порядок заповнення граф Уточнюючої декларації з особливого податку на операції з відчуження цінних паперів та операцій з деривативами</w:t>
      </w:r>
    </w:p>
    <w:p w:rsidR="0026184C" w:rsidRPr="00246F45" w:rsidRDefault="0026184C" w:rsidP="00BA33B3">
      <w:pPr>
        <w:jc w:val="center"/>
        <w:rPr>
          <w:b/>
          <w:color w:val="000000" w:themeColor="text1"/>
          <w:sz w:val="28"/>
          <w:szCs w:val="28"/>
        </w:rPr>
      </w:pPr>
    </w:p>
    <w:p w:rsidR="000D5E97" w:rsidRDefault="009959EB" w:rsidP="000D5E97">
      <w:pPr>
        <w:ind w:left="142"/>
        <w:jc w:val="center"/>
        <w:rPr>
          <w:b/>
          <w:color w:val="000000" w:themeColor="text1"/>
          <w:sz w:val="28"/>
          <w:szCs w:val="28"/>
        </w:rPr>
      </w:pPr>
      <w:r w:rsidRPr="00246F45">
        <w:rPr>
          <w:b/>
          <w:color w:val="000000" w:themeColor="text1"/>
          <w:sz w:val="28"/>
          <w:szCs w:val="28"/>
        </w:rPr>
        <w:t>1</w:t>
      </w:r>
      <w:r w:rsidR="0079003A" w:rsidRPr="00246F45">
        <w:rPr>
          <w:b/>
          <w:color w:val="000000" w:themeColor="text1"/>
          <w:sz w:val="28"/>
          <w:szCs w:val="28"/>
        </w:rPr>
        <w:t xml:space="preserve">. </w:t>
      </w:r>
      <w:r w:rsidR="00B65B95" w:rsidRPr="00246F45">
        <w:rPr>
          <w:b/>
          <w:color w:val="000000" w:themeColor="text1"/>
          <w:sz w:val="28"/>
          <w:szCs w:val="28"/>
        </w:rPr>
        <w:t xml:space="preserve">Порядок заповнення показників </w:t>
      </w:r>
      <w:r w:rsidR="0079003A" w:rsidRPr="00246F45">
        <w:rPr>
          <w:b/>
          <w:color w:val="000000" w:themeColor="text1"/>
          <w:sz w:val="28"/>
          <w:szCs w:val="28"/>
        </w:rPr>
        <w:t xml:space="preserve">в </w:t>
      </w:r>
      <w:r w:rsidR="00916434" w:rsidRPr="00246F45">
        <w:rPr>
          <w:b/>
          <w:color w:val="000000" w:themeColor="text1"/>
          <w:sz w:val="28"/>
          <w:szCs w:val="28"/>
        </w:rPr>
        <w:t>Уточнююч</w:t>
      </w:r>
      <w:r w:rsidR="005D4E80">
        <w:rPr>
          <w:b/>
          <w:color w:val="000000" w:themeColor="text1"/>
          <w:sz w:val="28"/>
          <w:szCs w:val="28"/>
        </w:rPr>
        <w:t>ій</w:t>
      </w:r>
      <w:r w:rsidR="00916434" w:rsidRPr="00246F45">
        <w:rPr>
          <w:b/>
          <w:color w:val="000000" w:themeColor="text1"/>
          <w:sz w:val="28"/>
          <w:szCs w:val="28"/>
        </w:rPr>
        <w:t xml:space="preserve"> декларації </w:t>
      </w:r>
    </w:p>
    <w:p w:rsidR="000D5E97" w:rsidRDefault="00916434" w:rsidP="000D5E97">
      <w:pPr>
        <w:ind w:left="142"/>
        <w:jc w:val="center"/>
        <w:rPr>
          <w:b/>
          <w:color w:val="000000" w:themeColor="text1"/>
          <w:sz w:val="28"/>
          <w:szCs w:val="28"/>
        </w:rPr>
      </w:pPr>
      <w:r w:rsidRPr="00246F45">
        <w:rPr>
          <w:b/>
          <w:color w:val="000000" w:themeColor="text1"/>
          <w:sz w:val="28"/>
          <w:szCs w:val="28"/>
        </w:rPr>
        <w:t>з особливого податку на операції з відчуження цінних паперів</w:t>
      </w:r>
    </w:p>
    <w:p w:rsidR="00B65B95" w:rsidRPr="00246F45" w:rsidRDefault="00916434" w:rsidP="000D5E97">
      <w:pPr>
        <w:ind w:left="142"/>
        <w:jc w:val="center"/>
        <w:rPr>
          <w:b/>
          <w:color w:val="000000" w:themeColor="text1"/>
          <w:sz w:val="28"/>
          <w:szCs w:val="28"/>
        </w:rPr>
      </w:pPr>
      <w:r w:rsidRPr="00246F45">
        <w:rPr>
          <w:b/>
          <w:color w:val="000000" w:themeColor="text1"/>
          <w:sz w:val="28"/>
          <w:szCs w:val="28"/>
        </w:rPr>
        <w:t xml:space="preserve"> та операцій з деривативами</w:t>
      </w:r>
    </w:p>
    <w:p w:rsidR="00B65B95" w:rsidRDefault="00B65B95" w:rsidP="00BA33B3">
      <w:pPr>
        <w:ind w:firstLine="851"/>
        <w:jc w:val="both"/>
        <w:rPr>
          <w:color w:val="000000" w:themeColor="text1"/>
          <w:sz w:val="28"/>
          <w:szCs w:val="28"/>
        </w:rPr>
      </w:pPr>
    </w:p>
    <w:p w:rsidR="00655A53" w:rsidRPr="00916434" w:rsidRDefault="00916434" w:rsidP="00655A53">
      <w:pPr>
        <w:ind w:firstLine="851"/>
        <w:jc w:val="both"/>
        <w:rPr>
          <w:color w:val="000000" w:themeColor="text1"/>
          <w:sz w:val="28"/>
          <w:szCs w:val="28"/>
        </w:rPr>
      </w:pPr>
      <w:r w:rsidRPr="00916434">
        <w:rPr>
          <w:color w:val="000000" w:themeColor="text1"/>
          <w:sz w:val="28"/>
          <w:szCs w:val="28"/>
        </w:rPr>
        <w:t>1</w:t>
      </w:r>
      <w:r w:rsidR="00655A53" w:rsidRPr="00916434">
        <w:rPr>
          <w:color w:val="000000" w:themeColor="text1"/>
          <w:sz w:val="28"/>
          <w:szCs w:val="28"/>
        </w:rPr>
        <w:t xml:space="preserve">. </w:t>
      </w:r>
      <w:r w:rsidRPr="00916434">
        <w:rPr>
          <w:color w:val="000000" w:themeColor="text1"/>
          <w:sz w:val="28"/>
          <w:szCs w:val="28"/>
        </w:rPr>
        <w:t>В</w:t>
      </w:r>
      <w:r w:rsidR="00655A53" w:rsidRPr="00916434">
        <w:rPr>
          <w:color w:val="000000" w:themeColor="text1"/>
          <w:sz w:val="28"/>
          <w:szCs w:val="28"/>
        </w:rPr>
        <w:t xml:space="preserve"> </w:t>
      </w:r>
      <w:r w:rsidRPr="00916434">
        <w:rPr>
          <w:color w:val="000000" w:themeColor="text1"/>
          <w:sz w:val="28"/>
          <w:szCs w:val="28"/>
        </w:rPr>
        <w:t>Уточнююч</w:t>
      </w:r>
      <w:r w:rsidR="005D4E80">
        <w:rPr>
          <w:color w:val="000000" w:themeColor="text1"/>
          <w:sz w:val="28"/>
          <w:szCs w:val="28"/>
        </w:rPr>
        <w:t>ій</w:t>
      </w:r>
      <w:r w:rsidRPr="00916434">
        <w:rPr>
          <w:color w:val="000000" w:themeColor="text1"/>
          <w:sz w:val="28"/>
          <w:szCs w:val="28"/>
        </w:rPr>
        <w:t xml:space="preserve"> декларації з особливого податку на операції з відчуження цінних паперів та операцій з деривативами (далі – Уточнююча декларація) </w:t>
      </w:r>
      <w:r w:rsidR="00414E18">
        <w:rPr>
          <w:color w:val="000000" w:themeColor="text1"/>
          <w:sz w:val="28"/>
          <w:szCs w:val="28"/>
        </w:rPr>
        <w:t>зазначаються</w:t>
      </w:r>
      <w:r w:rsidR="00414E18" w:rsidRPr="003B2DF7">
        <w:rPr>
          <w:color w:val="000000" w:themeColor="text1"/>
          <w:sz w:val="28"/>
          <w:szCs w:val="28"/>
        </w:rPr>
        <w:t xml:space="preserve"> </w:t>
      </w:r>
      <w:r w:rsidR="00655A53" w:rsidRPr="00916434">
        <w:rPr>
          <w:color w:val="000000" w:themeColor="text1"/>
          <w:sz w:val="28"/>
          <w:szCs w:val="28"/>
        </w:rPr>
        <w:t>всі передбачені формою показники, а у разі їх відсутності графи не заповнюються.</w:t>
      </w:r>
    </w:p>
    <w:p w:rsidR="00655A53" w:rsidRPr="008B04B5" w:rsidRDefault="00655A53" w:rsidP="00655A53">
      <w:pPr>
        <w:ind w:firstLine="851"/>
        <w:jc w:val="both"/>
        <w:rPr>
          <w:color w:val="000000" w:themeColor="text1"/>
          <w:sz w:val="28"/>
          <w:szCs w:val="28"/>
          <w:highlight w:val="yellow"/>
        </w:rPr>
      </w:pPr>
    </w:p>
    <w:p w:rsidR="00655A53" w:rsidRPr="00F81F17" w:rsidRDefault="00F81F17" w:rsidP="00655A53">
      <w:pPr>
        <w:ind w:firstLine="851"/>
        <w:jc w:val="both"/>
        <w:rPr>
          <w:color w:val="000000" w:themeColor="text1"/>
          <w:sz w:val="28"/>
          <w:szCs w:val="28"/>
        </w:rPr>
      </w:pPr>
      <w:r w:rsidRPr="00F81F17">
        <w:rPr>
          <w:color w:val="000000" w:themeColor="text1"/>
          <w:sz w:val="28"/>
          <w:szCs w:val="28"/>
        </w:rPr>
        <w:t>2</w:t>
      </w:r>
      <w:r w:rsidR="00655A53" w:rsidRPr="00F81F17">
        <w:rPr>
          <w:color w:val="000000" w:themeColor="text1"/>
          <w:sz w:val="28"/>
          <w:szCs w:val="28"/>
        </w:rPr>
        <w:t>. Заповнення цифрових показників, зокрема день, місяць, квартал, рік, суми, здійснюється арабськими цифрами.</w:t>
      </w:r>
    </w:p>
    <w:p w:rsidR="00655A53" w:rsidRPr="008B04B5" w:rsidRDefault="00655A53" w:rsidP="00655A53">
      <w:pPr>
        <w:ind w:firstLine="851"/>
        <w:jc w:val="both"/>
        <w:rPr>
          <w:color w:val="000000" w:themeColor="text1"/>
          <w:sz w:val="28"/>
          <w:szCs w:val="28"/>
          <w:highlight w:val="yellow"/>
        </w:rPr>
      </w:pPr>
    </w:p>
    <w:p w:rsidR="00655A53" w:rsidRPr="00A37F84" w:rsidRDefault="00015EF4" w:rsidP="00655A5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55A53" w:rsidRPr="00A37F84">
        <w:rPr>
          <w:color w:val="000000" w:themeColor="text1"/>
          <w:sz w:val="28"/>
          <w:szCs w:val="28"/>
        </w:rPr>
        <w:t xml:space="preserve">. Додатки до </w:t>
      </w:r>
      <w:r w:rsidR="00364ECB" w:rsidRPr="00A37F84">
        <w:rPr>
          <w:color w:val="000000" w:themeColor="text1"/>
          <w:sz w:val="28"/>
          <w:szCs w:val="28"/>
        </w:rPr>
        <w:t xml:space="preserve">Уточнюючої декларації </w:t>
      </w:r>
      <w:r w:rsidR="00655A53" w:rsidRPr="00A37F84">
        <w:rPr>
          <w:color w:val="000000" w:themeColor="text1"/>
          <w:sz w:val="28"/>
          <w:szCs w:val="28"/>
        </w:rPr>
        <w:t xml:space="preserve">заповнюються за кожним договором/контрактом окремо у хронологічному порядку відповідно до дати укладання договору/контракту. </w:t>
      </w:r>
    </w:p>
    <w:p w:rsidR="00F81F17" w:rsidRDefault="00F81F17" w:rsidP="00655A53">
      <w:pPr>
        <w:ind w:firstLine="851"/>
        <w:jc w:val="both"/>
        <w:rPr>
          <w:color w:val="000000" w:themeColor="text1"/>
          <w:sz w:val="28"/>
          <w:szCs w:val="28"/>
          <w:highlight w:val="yellow"/>
        </w:rPr>
      </w:pPr>
    </w:p>
    <w:p w:rsidR="00655A53" w:rsidRPr="00246F45" w:rsidRDefault="00015EF4" w:rsidP="00655A5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55A53" w:rsidRPr="00A37F84">
        <w:rPr>
          <w:color w:val="000000" w:themeColor="text1"/>
          <w:sz w:val="28"/>
          <w:szCs w:val="28"/>
        </w:rPr>
        <w:t>. Вибір типу поданого документа та наявність додатків зазначаються шляхом проставляння позначки.</w:t>
      </w:r>
    </w:p>
    <w:p w:rsidR="00655A53" w:rsidRDefault="00655A53" w:rsidP="00655A53">
      <w:pPr>
        <w:ind w:firstLine="851"/>
        <w:rPr>
          <w:color w:val="000000" w:themeColor="text1"/>
          <w:sz w:val="28"/>
          <w:szCs w:val="28"/>
        </w:rPr>
      </w:pPr>
    </w:p>
    <w:p w:rsidR="00A14C74" w:rsidRDefault="00A14C74" w:rsidP="00A14C7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Суми операцій з відчуження цінних паперів та операцій з деривативами, у тому числі за ставками, а також уточнюючі суми розраховуються як підсумок за операціями у відповідному підрозділі додатків.</w:t>
      </w:r>
    </w:p>
    <w:p w:rsidR="00A14C74" w:rsidRPr="00246F45" w:rsidRDefault="00A14C74" w:rsidP="00A14C74">
      <w:pPr>
        <w:ind w:firstLine="851"/>
        <w:jc w:val="both"/>
        <w:rPr>
          <w:color w:val="000000" w:themeColor="text1"/>
          <w:sz w:val="28"/>
          <w:szCs w:val="28"/>
        </w:rPr>
      </w:pPr>
    </w:p>
    <w:p w:rsidR="00B65B95" w:rsidRPr="00246F45" w:rsidRDefault="00A14C74" w:rsidP="00EC307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9003A" w:rsidRPr="00246F45">
        <w:rPr>
          <w:color w:val="000000" w:themeColor="text1"/>
          <w:sz w:val="28"/>
          <w:szCs w:val="28"/>
        </w:rPr>
        <w:t xml:space="preserve">. </w:t>
      </w:r>
      <w:r w:rsidR="00B65B95" w:rsidRPr="00246F45">
        <w:rPr>
          <w:color w:val="000000" w:themeColor="text1"/>
          <w:sz w:val="28"/>
          <w:szCs w:val="28"/>
        </w:rPr>
        <w:t xml:space="preserve">Показник «Операції з відчуження цінних паперів» відображає раніше задекларовану (відповідно до додатків Д1, Д2 раніше поданої Декларації), уточнюючу (відповідно до графи 2 додатків УД1, УД2 за типом розрахунку – 013) суму біржових та позабіржових операцій з відчуження цінних паперів, а також різницю, яка розраховується шляхом віднімання від уточнюючої суми раніше задекларованої суми. </w:t>
      </w:r>
    </w:p>
    <w:p w:rsidR="00A41AF7" w:rsidRPr="00246F45" w:rsidRDefault="00A41AF7" w:rsidP="00EC3070">
      <w:pPr>
        <w:ind w:firstLine="851"/>
        <w:jc w:val="both"/>
        <w:rPr>
          <w:color w:val="000000" w:themeColor="text1"/>
          <w:sz w:val="28"/>
          <w:szCs w:val="28"/>
        </w:rPr>
      </w:pPr>
    </w:p>
    <w:p w:rsidR="00B65B95" w:rsidRPr="00246F45" w:rsidRDefault="00A14C74" w:rsidP="00EC307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79003A" w:rsidRPr="00246F45">
        <w:rPr>
          <w:color w:val="000000" w:themeColor="text1"/>
          <w:sz w:val="28"/>
          <w:szCs w:val="28"/>
        </w:rPr>
        <w:t xml:space="preserve">. </w:t>
      </w:r>
      <w:r w:rsidR="00B65B95" w:rsidRPr="00246F45">
        <w:rPr>
          <w:color w:val="000000" w:themeColor="text1"/>
          <w:sz w:val="28"/>
          <w:szCs w:val="28"/>
        </w:rPr>
        <w:t xml:space="preserve">Показник «Операції з деривативами» відображає раніше задекларовану (відповідно до додатків Д1, Д2 раніше поданої Декларації), уточнюючу (відповідно до графи 2 додатків УД1, УД2 за типом розрахунку – 013) суму </w:t>
      </w:r>
      <w:r w:rsidR="00B65B95" w:rsidRPr="00246F45">
        <w:rPr>
          <w:color w:val="000000" w:themeColor="text1"/>
          <w:sz w:val="28"/>
          <w:szCs w:val="28"/>
        </w:rPr>
        <w:lastRenderedPageBreak/>
        <w:t>біржових та позабіржових операцій з деривативами, а також різницю, яка розраховується шляхом віднімання від уточнюючої суми раніше задекларованої суми.</w:t>
      </w:r>
    </w:p>
    <w:p w:rsidR="00A41AF7" w:rsidRPr="00246F45" w:rsidRDefault="00A41AF7" w:rsidP="00EC3070">
      <w:pPr>
        <w:ind w:firstLine="851"/>
        <w:jc w:val="both"/>
        <w:rPr>
          <w:color w:val="000000" w:themeColor="text1"/>
          <w:sz w:val="28"/>
          <w:szCs w:val="28"/>
        </w:rPr>
      </w:pPr>
    </w:p>
    <w:p w:rsidR="00B65B95" w:rsidRDefault="00A14C74" w:rsidP="00EC307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79003A" w:rsidRPr="00246F45">
        <w:rPr>
          <w:color w:val="000000" w:themeColor="text1"/>
          <w:sz w:val="28"/>
          <w:szCs w:val="28"/>
        </w:rPr>
        <w:t xml:space="preserve">. </w:t>
      </w:r>
      <w:r w:rsidR="00B65B95" w:rsidRPr="00246F45">
        <w:rPr>
          <w:color w:val="000000" w:themeColor="text1"/>
          <w:sz w:val="28"/>
          <w:szCs w:val="28"/>
        </w:rPr>
        <w:t>Показник «Коригування операцій з відчуження цінних паперів та операцій з деривативами» відображає суми зменшення/збільшення особливого податку за біржовими та позабіржовими операціями з відчуження цінних паперів та операці</w:t>
      </w:r>
      <w:r w:rsidR="00CA7577" w:rsidRPr="00246F45">
        <w:rPr>
          <w:color w:val="000000" w:themeColor="text1"/>
          <w:sz w:val="28"/>
          <w:szCs w:val="28"/>
        </w:rPr>
        <w:t>й</w:t>
      </w:r>
      <w:r w:rsidR="00B65B95" w:rsidRPr="00246F45">
        <w:rPr>
          <w:color w:val="000000" w:themeColor="text1"/>
          <w:sz w:val="28"/>
          <w:szCs w:val="28"/>
        </w:rPr>
        <w:t xml:space="preserve"> з деривативами. Задекларована сума особливого податку визначається відповідно до додатків Д1, Д2 за попередньо поданою Декларацією, уточнююча сума особливого податку – відповідно до графи 2 додатків УД1, УД2 за типом розрахунку 013, а також відображається різниця, яка розраховується шляхом віднімання від уточнюючої суми раніше задекларованої суми.</w:t>
      </w:r>
    </w:p>
    <w:p w:rsidR="00A14C74" w:rsidRPr="00246F45" w:rsidRDefault="00A14C74" w:rsidP="00EC3070">
      <w:pPr>
        <w:ind w:firstLine="851"/>
        <w:jc w:val="both"/>
        <w:rPr>
          <w:color w:val="000000" w:themeColor="text1"/>
          <w:sz w:val="28"/>
          <w:szCs w:val="28"/>
        </w:rPr>
      </w:pPr>
    </w:p>
    <w:p w:rsidR="00B65B95" w:rsidRPr="00246F45" w:rsidRDefault="00A14C74" w:rsidP="00EC3070">
      <w:pPr>
        <w:ind w:firstLine="851"/>
        <w:jc w:val="both"/>
        <w:rPr>
          <w:rStyle w:val="rvts15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79003A" w:rsidRPr="00246F45">
        <w:rPr>
          <w:color w:val="000000" w:themeColor="text1"/>
          <w:sz w:val="28"/>
          <w:szCs w:val="28"/>
        </w:rPr>
        <w:t xml:space="preserve">. </w:t>
      </w:r>
      <w:r w:rsidR="00B65B95" w:rsidRPr="00246F45">
        <w:rPr>
          <w:color w:val="000000" w:themeColor="text1"/>
          <w:sz w:val="28"/>
          <w:szCs w:val="28"/>
        </w:rPr>
        <w:t xml:space="preserve">Показник «Уточнююча сума за операціями з підакцизними товарами (цінними паперами та деривативами), які не підлягають оподаткуванню» відображає задекларовану та уточнюючу суму операцій з відчуження цінних паперів та </w:t>
      </w:r>
      <w:r w:rsidR="0015539B" w:rsidRPr="00246F45">
        <w:rPr>
          <w:color w:val="000000" w:themeColor="text1"/>
          <w:sz w:val="28"/>
          <w:szCs w:val="28"/>
        </w:rPr>
        <w:t xml:space="preserve">операцій з </w:t>
      </w:r>
      <w:r w:rsidR="00B65B95" w:rsidRPr="00246F45">
        <w:rPr>
          <w:color w:val="000000" w:themeColor="text1"/>
          <w:sz w:val="28"/>
          <w:szCs w:val="28"/>
        </w:rPr>
        <w:t>дериватив</w:t>
      </w:r>
      <w:r w:rsidR="0015539B" w:rsidRPr="00246F45">
        <w:rPr>
          <w:color w:val="000000" w:themeColor="text1"/>
          <w:sz w:val="28"/>
          <w:szCs w:val="28"/>
        </w:rPr>
        <w:t>ами</w:t>
      </w:r>
      <w:r w:rsidR="00B65B95" w:rsidRPr="00246F45">
        <w:rPr>
          <w:color w:val="000000" w:themeColor="text1"/>
          <w:sz w:val="28"/>
          <w:szCs w:val="28"/>
        </w:rPr>
        <w:t xml:space="preserve">, які відповідно до </w:t>
      </w:r>
      <w:r w:rsidR="007C2C21" w:rsidRPr="00246F45">
        <w:rPr>
          <w:color w:val="000000" w:themeColor="text1"/>
          <w:sz w:val="28"/>
          <w:szCs w:val="28"/>
        </w:rPr>
        <w:t>під</w:t>
      </w:r>
      <w:r w:rsidR="00B65B95" w:rsidRPr="00246F45">
        <w:rPr>
          <w:color w:val="000000" w:themeColor="text1"/>
          <w:sz w:val="28"/>
          <w:szCs w:val="28"/>
        </w:rPr>
        <w:t>пунктів 213.2.3-213.2.7</w:t>
      </w:r>
      <w:r w:rsidR="00B65B95" w:rsidRPr="00246F45">
        <w:rPr>
          <w:rStyle w:val="rvts15"/>
          <w:color w:val="000000" w:themeColor="text1"/>
          <w:sz w:val="28"/>
          <w:szCs w:val="28"/>
        </w:rPr>
        <w:t xml:space="preserve"> </w:t>
      </w:r>
      <w:r w:rsidR="007C2C21" w:rsidRPr="00246F45">
        <w:rPr>
          <w:rStyle w:val="rvts15"/>
          <w:color w:val="000000" w:themeColor="text1"/>
          <w:sz w:val="28"/>
          <w:szCs w:val="28"/>
        </w:rPr>
        <w:t xml:space="preserve">пункту 213.2 </w:t>
      </w:r>
      <w:r w:rsidR="00B65B95" w:rsidRPr="00246F45">
        <w:rPr>
          <w:rStyle w:val="rvts15"/>
          <w:color w:val="000000" w:themeColor="text1"/>
          <w:sz w:val="28"/>
          <w:szCs w:val="28"/>
        </w:rPr>
        <w:t xml:space="preserve">статті 213 </w:t>
      </w:r>
      <w:r w:rsidR="005714E4">
        <w:rPr>
          <w:rStyle w:val="rvts15"/>
          <w:color w:val="000000" w:themeColor="text1"/>
          <w:sz w:val="28"/>
          <w:szCs w:val="28"/>
        </w:rPr>
        <w:t xml:space="preserve">розділу </w:t>
      </w:r>
      <w:r w:rsidR="005714E4">
        <w:rPr>
          <w:rStyle w:val="rvts15"/>
          <w:color w:val="000000" w:themeColor="text1"/>
          <w:sz w:val="28"/>
          <w:szCs w:val="28"/>
          <w:lang w:val="en-US"/>
        </w:rPr>
        <w:t>VI</w:t>
      </w:r>
      <w:r w:rsidR="005714E4" w:rsidRPr="005714E4">
        <w:rPr>
          <w:rStyle w:val="rvts15"/>
          <w:color w:val="000000" w:themeColor="text1"/>
          <w:sz w:val="28"/>
          <w:szCs w:val="28"/>
        </w:rPr>
        <w:t xml:space="preserve"> </w:t>
      </w:r>
      <w:r w:rsidR="00B65B95" w:rsidRPr="00246F45">
        <w:rPr>
          <w:rStyle w:val="rvts15"/>
          <w:color w:val="000000" w:themeColor="text1"/>
          <w:sz w:val="28"/>
          <w:szCs w:val="28"/>
        </w:rPr>
        <w:t>Кодексу не підлягають оподаткуванню.</w:t>
      </w:r>
    </w:p>
    <w:p w:rsidR="00A41AF7" w:rsidRPr="00246F45" w:rsidRDefault="00A41AF7" w:rsidP="00EC3070">
      <w:pPr>
        <w:ind w:firstLine="851"/>
        <w:jc w:val="both"/>
        <w:rPr>
          <w:color w:val="000000" w:themeColor="text1"/>
          <w:sz w:val="28"/>
          <w:szCs w:val="28"/>
        </w:rPr>
      </w:pPr>
    </w:p>
    <w:p w:rsidR="00B65B95" w:rsidRPr="00246F45" w:rsidRDefault="00A14C74" w:rsidP="00EC307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79003A" w:rsidRPr="00246F45">
        <w:rPr>
          <w:color w:val="000000" w:themeColor="text1"/>
          <w:sz w:val="28"/>
          <w:szCs w:val="28"/>
        </w:rPr>
        <w:t xml:space="preserve">. </w:t>
      </w:r>
      <w:r w:rsidR="00B65B95" w:rsidRPr="00246F45">
        <w:rPr>
          <w:color w:val="000000" w:themeColor="text1"/>
          <w:sz w:val="28"/>
          <w:szCs w:val="28"/>
        </w:rPr>
        <w:t xml:space="preserve">Показник «Сума, яка підлягає сплаті до бюджету за операціями» відображає уточнюючу загальну суму, яка підлягає сплаті до бюджету, а також відповідні суми особливого податку </w:t>
      </w:r>
      <w:r w:rsidR="00084147" w:rsidRPr="00246F45">
        <w:rPr>
          <w:color w:val="000000" w:themeColor="text1"/>
          <w:sz w:val="28"/>
          <w:szCs w:val="28"/>
        </w:rPr>
        <w:t>н</w:t>
      </w:r>
      <w:r w:rsidR="00B65B95" w:rsidRPr="00246F45">
        <w:rPr>
          <w:color w:val="000000" w:themeColor="text1"/>
          <w:sz w:val="28"/>
          <w:szCs w:val="28"/>
        </w:rPr>
        <w:t>а операці</w:t>
      </w:r>
      <w:r w:rsidR="00084147" w:rsidRPr="00246F45">
        <w:rPr>
          <w:color w:val="000000" w:themeColor="text1"/>
          <w:sz w:val="28"/>
          <w:szCs w:val="28"/>
        </w:rPr>
        <w:t>ї</w:t>
      </w:r>
      <w:r w:rsidR="00B65B95" w:rsidRPr="00246F45">
        <w:rPr>
          <w:color w:val="000000" w:themeColor="text1"/>
          <w:sz w:val="28"/>
          <w:szCs w:val="28"/>
        </w:rPr>
        <w:t xml:space="preserve"> з відчуження цінних паперів та операці</w:t>
      </w:r>
      <w:r w:rsidR="00084147" w:rsidRPr="00246F45">
        <w:rPr>
          <w:color w:val="000000" w:themeColor="text1"/>
          <w:sz w:val="28"/>
          <w:szCs w:val="28"/>
        </w:rPr>
        <w:t>й</w:t>
      </w:r>
      <w:r w:rsidR="00B65B95" w:rsidRPr="00246F45">
        <w:rPr>
          <w:color w:val="000000" w:themeColor="text1"/>
          <w:sz w:val="28"/>
          <w:szCs w:val="28"/>
        </w:rPr>
        <w:t xml:space="preserve"> з деривативами окремо.</w:t>
      </w:r>
    </w:p>
    <w:p w:rsidR="00A41AF7" w:rsidRPr="00246F45" w:rsidRDefault="00A41AF7" w:rsidP="00EC3070">
      <w:pPr>
        <w:pStyle w:val="rvps1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7A402C" w:rsidRDefault="00A14C74" w:rsidP="00EC3070">
      <w:pPr>
        <w:pStyle w:val="rvps1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11</w:t>
      </w:r>
      <w:r w:rsidR="007A402C" w:rsidRPr="00246F45">
        <w:rPr>
          <w:color w:val="000000" w:themeColor="text1"/>
          <w:sz w:val="28"/>
          <w:szCs w:val="28"/>
          <w:lang w:val="uk-UA"/>
        </w:rPr>
        <w:t xml:space="preserve">. Задекларована сума показників Уточнюючої декларації </w:t>
      </w:r>
      <w:r w:rsidR="003C53C5">
        <w:rPr>
          <w:color w:val="000000" w:themeColor="text1"/>
          <w:sz w:val="28"/>
          <w:szCs w:val="28"/>
          <w:lang w:val="uk-UA"/>
        </w:rPr>
        <w:t>заповнюється за операціями, які потребують уточнення,</w:t>
      </w:r>
      <w:r w:rsidR="007A402C" w:rsidRPr="00246F45">
        <w:rPr>
          <w:color w:val="000000" w:themeColor="text1"/>
          <w:sz w:val="28"/>
          <w:szCs w:val="28"/>
          <w:lang w:val="uk-UA"/>
        </w:rPr>
        <w:t xml:space="preserve"> із додатків Д1, Д2 попередньо поданої Декларації (звітної або звітної нової) звітного (податкового) періоду, за який подається Уточнююча декларація.</w:t>
      </w:r>
    </w:p>
    <w:p w:rsidR="00A14C74" w:rsidRPr="00246F45" w:rsidRDefault="00A14C74" w:rsidP="00EC3070">
      <w:pPr>
        <w:pStyle w:val="rvps1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7A402C" w:rsidRPr="00246F45" w:rsidRDefault="00A14C74" w:rsidP="00A14C7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r w:rsidR="007A402C" w:rsidRPr="00246F45">
        <w:rPr>
          <w:color w:val="000000" w:themeColor="text1"/>
          <w:sz w:val="28"/>
          <w:szCs w:val="28"/>
        </w:rPr>
        <w:t>Суми та дані за типом розрахунку 011 (012) додатків УД1, УД2</w:t>
      </w:r>
      <w:r w:rsidR="00BD09FE" w:rsidRPr="00246F45">
        <w:rPr>
          <w:color w:val="000000" w:themeColor="text1"/>
          <w:sz w:val="28"/>
          <w:szCs w:val="28"/>
        </w:rPr>
        <w:t>,</w:t>
      </w:r>
      <w:r w:rsidR="007A402C" w:rsidRPr="00246F45">
        <w:rPr>
          <w:color w:val="000000" w:themeColor="text1"/>
          <w:sz w:val="28"/>
          <w:szCs w:val="28"/>
        </w:rPr>
        <w:t xml:space="preserve"> що подаються у складі Уточнюючої декларації, </w:t>
      </w:r>
      <w:r w:rsidR="00BD09FE" w:rsidRPr="00246F45">
        <w:rPr>
          <w:color w:val="000000" w:themeColor="text1"/>
          <w:sz w:val="28"/>
          <w:szCs w:val="28"/>
        </w:rPr>
        <w:t>заповнюються відповідно до</w:t>
      </w:r>
      <w:r w:rsidR="007A402C" w:rsidRPr="00246F45">
        <w:rPr>
          <w:color w:val="000000" w:themeColor="text1"/>
          <w:sz w:val="28"/>
          <w:szCs w:val="28"/>
        </w:rPr>
        <w:t xml:space="preserve"> сум та дани</w:t>
      </w:r>
      <w:r w:rsidR="00E8540E" w:rsidRPr="00246F45">
        <w:rPr>
          <w:color w:val="000000" w:themeColor="text1"/>
          <w:sz w:val="28"/>
          <w:szCs w:val="28"/>
        </w:rPr>
        <w:t>х</w:t>
      </w:r>
      <w:r w:rsidR="007A402C" w:rsidRPr="00246F45">
        <w:rPr>
          <w:color w:val="000000" w:themeColor="text1"/>
          <w:sz w:val="28"/>
          <w:szCs w:val="28"/>
        </w:rPr>
        <w:t xml:space="preserve"> додатків Д1, Д2 попередньо поданої Декларації (звітної або звітної нової) звітного (податкового) періоду, за який подається Уточнююча декларація.</w:t>
      </w:r>
    </w:p>
    <w:p w:rsidR="003A1978" w:rsidRPr="00246F45" w:rsidRDefault="003A1978" w:rsidP="00BA33B3">
      <w:pPr>
        <w:ind w:firstLine="709"/>
        <w:jc w:val="both"/>
        <w:rPr>
          <w:color w:val="000000" w:themeColor="text1"/>
          <w:sz w:val="28"/>
          <w:szCs w:val="28"/>
        </w:rPr>
      </w:pPr>
    </w:p>
    <w:p w:rsidR="000E4962" w:rsidRPr="00246F45" w:rsidRDefault="00EB4421" w:rsidP="00BA33B3">
      <w:pPr>
        <w:jc w:val="center"/>
        <w:rPr>
          <w:b/>
          <w:color w:val="000000" w:themeColor="text1"/>
          <w:sz w:val="28"/>
          <w:szCs w:val="28"/>
        </w:rPr>
      </w:pPr>
      <w:r w:rsidRPr="00246F45">
        <w:rPr>
          <w:b/>
          <w:color w:val="000000" w:themeColor="text1"/>
          <w:sz w:val="28"/>
          <w:szCs w:val="28"/>
        </w:rPr>
        <w:t>2</w:t>
      </w:r>
      <w:r w:rsidR="000E4962" w:rsidRPr="00246F45">
        <w:rPr>
          <w:b/>
          <w:color w:val="000000" w:themeColor="text1"/>
          <w:sz w:val="28"/>
          <w:szCs w:val="28"/>
        </w:rPr>
        <w:t>. Порядок заповнення додатків УД1 «Уточнюючі розрахунки суми особливого податку за біржовими операціями з відчуження цінних паперів та операцій з деривативами», УД2 «Уточнюючі розрахунки суми особливого податку за позабіржовими операціями з відчуження цінних паперів та операцій з деривативами»</w:t>
      </w:r>
    </w:p>
    <w:p w:rsidR="000E4962" w:rsidRPr="00246F45" w:rsidRDefault="000E4962" w:rsidP="00BA33B3">
      <w:pPr>
        <w:jc w:val="center"/>
        <w:rPr>
          <w:b/>
          <w:color w:val="000000" w:themeColor="text1"/>
          <w:sz w:val="28"/>
          <w:szCs w:val="28"/>
        </w:rPr>
      </w:pPr>
      <w:r w:rsidRPr="00246F45">
        <w:rPr>
          <w:b/>
          <w:color w:val="000000" w:themeColor="text1"/>
          <w:sz w:val="28"/>
          <w:szCs w:val="28"/>
        </w:rPr>
        <w:t xml:space="preserve"> </w:t>
      </w:r>
    </w:p>
    <w:p w:rsidR="00277E43" w:rsidRPr="00246F45" w:rsidRDefault="00277E43" w:rsidP="00EC3070">
      <w:pPr>
        <w:pStyle w:val="a6"/>
        <w:ind w:firstLine="851"/>
        <w:jc w:val="both"/>
        <w:rPr>
          <w:color w:val="000000" w:themeColor="text1"/>
          <w:sz w:val="28"/>
          <w:szCs w:val="28"/>
        </w:rPr>
      </w:pPr>
      <w:r w:rsidRPr="00246F45">
        <w:rPr>
          <w:color w:val="000000" w:themeColor="text1"/>
          <w:sz w:val="28"/>
          <w:szCs w:val="28"/>
        </w:rPr>
        <w:t xml:space="preserve">1. Додатки УД1, УД2 </w:t>
      </w:r>
      <w:r w:rsidR="00CB4610" w:rsidRPr="00246F45">
        <w:rPr>
          <w:color w:val="000000" w:themeColor="text1"/>
          <w:sz w:val="28"/>
          <w:szCs w:val="28"/>
        </w:rPr>
        <w:t>заповнюються</w:t>
      </w:r>
      <w:r w:rsidRPr="00246F45">
        <w:rPr>
          <w:color w:val="000000" w:themeColor="text1"/>
          <w:sz w:val="28"/>
          <w:szCs w:val="28"/>
        </w:rPr>
        <w:t xml:space="preserve"> </w:t>
      </w:r>
      <w:r w:rsidR="00355CCC" w:rsidRPr="00246F45">
        <w:rPr>
          <w:color w:val="000000" w:themeColor="text1"/>
          <w:sz w:val="28"/>
          <w:szCs w:val="28"/>
        </w:rPr>
        <w:t>з урахування</w:t>
      </w:r>
      <w:r w:rsidR="00780B7B">
        <w:rPr>
          <w:color w:val="000000" w:themeColor="text1"/>
          <w:sz w:val="28"/>
          <w:szCs w:val="28"/>
        </w:rPr>
        <w:t>м</w:t>
      </w:r>
      <w:r w:rsidR="00355CCC" w:rsidRPr="00246F45">
        <w:rPr>
          <w:color w:val="000000" w:themeColor="text1"/>
          <w:sz w:val="28"/>
          <w:szCs w:val="28"/>
        </w:rPr>
        <w:t xml:space="preserve"> порядку заповнення, визначеного </w:t>
      </w:r>
      <w:r w:rsidR="00355CCC" w:rsidRPr="001F4A66">
        <w:rPr>
          <w:color w:val="000000" w:themeColor="text1"/>
          <w:sz w:val="28"/>
          <w:szCs w:val="28"/>
        </w:rPr>
        <w:t>главами 2, 3  розділу</w:t>
      </w:r>
      <w:r w:rsidR="001F4A66">
        <w:rPr>
          <w:color w:val="000000" w:themeColor="text1"/>
          <w:sz w:val="28"/>
          <w:szCs w:val="28"/>
        </w:rPr>
        <w:t xml:space="preserve"> І цього Порядку</w:t>
      </w:r>
      <w:r w:rsidR="00355CCC" w:rsidRPr="00246F45">
        <w:rPr>
          <w:color w:val="000000" w:themeColor="text1"/>
          <w:sz w:val="28"/>
          <w:szCs w:val="28"/>
        </w:rPr>
        <w:t xml:space="preserve"> відповідно</w:t>
      </w:r>
      <w:r w:rsidRPr="00246F45">
        <w:rPr>
          <w:color w:val="000000" w:themeColor="text1"/>
          <w:sz w:val="28"/>
          <w:szCs w:val="28"/>
        </w:rPr>
        <w:t>.</w:t>
      </w:r>
      <w:r w:rsidR="00E43ACE" w:rsidRPr="00E43ACE">
        <w:rPr>
          <w:color w:val="000000" w:themeColor="text1"/>
          <w:sz w:val="28"/>
          <w:szCs w:val="28"/>
        </w:rPr>
        <w:t xml:space="preserve"> </w:t>
      </w:r>
      <w:r w:rsidR="00E43ACE" w:rsidRPr="00246F45">
        <w:rPr>
          <w:color w:val="000000" w:themeColor="text1"/>
          <w:sz w:val="28"/>
          <w:szCs w:val="28"/>
        </w:rPr>
        <w:t>Графи у додатках УД1, УД2 заповнюються для операції з цінними паперами та операції з деривативами, які потребують уточнення.</w:t>
      </w:r>
    </w:p>
    <w:p w:rsidR="00EC3070" w:rsidRPr="00246F45" w:rsidRDefault="00EC3070" w:rsidP="00EC3070">
      <w:pPr>
        <w:pStyle w:val="a6"/>
        <w:ind w:firstLine="851"/>
        <w:jc w:val="both"/>
        <w:rPr>
          <w:color w:val="000000" w:themeColor="text1"/>
          <w:sz w:val="28"/>
          <w:szCs w:val="28"/>
        </w:rPr>
      </w:pPr>
    </w:p>
    <w:p w:rsidR="000E4962" w:rsidRPr="00246F45" w:rsidRDefault="005D78A0" w:rsidP="00EC3070">
      <w:pPr>
        <w:pStyle w:val="rvps1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46F45">
        <w:rPr>
          <w:color w:val="000000" w:themeColor="text1"/>
          <w:sz w:val="28"/>
          <w:szCs w:val="28"/>
          <w:lang w:val="uk-UA"/>
        </w:rPr>
        <w:lastRenderedPageBreak/>
        <w:t>2</w:t>
      </w:r>
      <w:r w:rsidR="00A3142B">
        <w:rPr>
          <w:color w:val="000000" w:themeColor="text1"/>
          <w:sz w:val="28"/>
          <w:szCs w:val="28"/>
          <w:lang w:val="uk-UA"/>
        </w:rPr>
        <w:t>.</w:t>
      </w:r>
      <w:r w:rsidR="000E4962" w:rsidRPr="00246F45">
        <w:rPr>
          <w:color w:val="000000" w:themeColor="text1"/>
          <w:sz w:val="28"/>
          <w:szCs w:val="28"/>
          <w:lang w:val="uk-UA"/>
        </w:rPr>
        <w:t xml:space="preserve"> Щодо кожної операції з відчуження цінних паперів та операці</w:t>
      </w:r>
      <w:r w:rsidR="00237491" w:rsidRPr="00246F45">
        <w:rPr>
          <w:color w:val="000000" w:themeColor="text1"/>
          <w:sz w:val="28"/>
          <w:szCs w:val="28"/>
          <w:lang w:val="uk-UA"/>
        </w:rPr>
        <w:t>й</w:t>
      </w:r>
      <w:r w:rsidR="000E4962" w:rsidRPr="00246F45">
        <w:rPr>
          <w:color w:val="000000" w:themeColor="text1"/>
          <w:sz w:val="28"/>
          <w:szCs w:val="28"/>
          <w:lang w:val="uk-UA"/>
        </w:rPr>
        <w:t xml:space="preserve"> з деривативами при </w:t>
      </w:r>
      <w:r w:rsidR="00F3609F" w:rsidRPr="00246F45">
        <w:rPr>
          <w:color w:val="000000" w:themeColor="text1"/>
          <w:sz w:val="28"/>
          <w:szCs w:val="28"/>
          <w:lang w:val="uk-UA"/>
        </w:rPr>
        <w:t xml:space="preserve">заповненні </w:t>
      </w:r>
      <w:r w:rsidR="000E4962" w:rsidRPr="00246F45">
        <w:rPr>
          <w:color w:val="000000" w:themeColor="text1"/>
          <w:sz w:val="28"/>
          <w:szCs w:val="28"/>
          <w:lang w:val="uk-UA"/>
        </w:rPr>
        <w:t>додатків УД1, УД2 відображається дв</w:t>
      </w:r>
      <w:r w:rsidR="00237491" w:rsidRPr="00246F45">
        <w:rPr>
          <w:color w:val="000000" w:themeColor="text1"/>
          <w:sz w:val="28"/>
          <w:szCs w:val="28"/>
          <w:lang w:val="uk-UA"/>
        </w:rPr>
        <w:t>а</w:t>
      </w:r>
      <w:r w:rsidR="000E4962" w:rsidRPr="00246F45">
        <w:rPr>
          <w:color w:val="000000" w:themeColor="text1"/>
          <w:sz w:val="28"/>
          <w:szCs w:val="28"/>
          <w:lang w:val="uk-UA"/>
        </w:rPr>
        <w:t xml:space="preserve"> </w:t>
      </w:r>
      <w:r w:rsidR="00237491" w:rsidRPr="00246F45">
        <w:rPr>
          <w:color w:val="000000" w:themeColor="text1"/>
          <w:sz w:val="28"/>
          <w:szCs w:val="28"/>
          <w:lang w:val="uk-UA"/>
        </w:rPr>
        <w:t>рядки</w:t>
      </w:r>
      <w:r w:rsidR="000E4962" w:rsidRPr="00246F45">
        <w:rPr>
          <w:color w:val="000000" w:themeColor="text1"/>
          <w:sz w:val="28"/>
          <w:szCs w:val="28"/>
          <w:lang w:val="uk-UA"/>
        </w:rPr>
        <w:t>: перш</w:t>
      </w:r>
      <w:r w:rsidR="00237491" w:rsidRPr="00246F45">
        <w:rPr>
          <w:color w:val="000000" w:themeColor="text1"/>
          <w:sz w:val="28"/>
          <w:szCs w:val="28"/>
          <w:lang w:val="uk-UA"/>
        </w:rPr>
        <w:t>ий</w:t>
      </w:r>
      <w:r w:rsidR="000E4962" w:rsidRPr="00246F45">
        <w:rPr>
          <w:color w:val="000000" w:themeColor="text1"/>
          <w:sz w:val="28"/>
          <w:szCs w:val="28"/>
          <w:lang w:val="uk-UA"/>
        </w:rPr>
        <w:t xml:space="preserve"> – це розрахунки суми особливого податку відповідно до звітної (звітної нової) Декларації (код типу розрахунку – 011 або 012), друг</w:t>
      </w:r>
      <w:r w:rsidR="00237491" w:rsidRPr="00246F45">
        <w:rPr>
          <w:color w:val="000000" w:themeColor="text1"/>
          <w:sz w:val="28"/>
          <w:szCs w:val="28"/>
          <w:lang w:val="uk-UA"/>
        </w:rPr>
        <w:t>ий</w:t>
      </w:r>
      <w:r w:rsidR="000E4962" w:rsidRPr="00246F45">
        <w:rPr>
          <w:color w:val="000000" w:themeColor="text1"/>
          <w:sz w:val="28"/>
          <w:szCs w:val="28"/>
          <w:lang w:val="uk-UA"/>
        </w:rPr>
        <w:t xml:space="preserve"> – це уточнюючі суми розрахунку (код типу розрахунку – 013).</w:t>
      </w:r>
    </w:p>
    <w:p w:rsidR="000E4962" w:rsidRPr="00246F45" w:rsidRDefault="000E4962" w:rsidP="00EC3070">
      <w:pPr>
        <w:pStyle w:val="rvps1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46F45">
        <w:rPr>
          <w:color w:val="000000" w:themeColor="text1"/>
          <w:sz w:val="28"/>
          <w:szCs w:val="28"/>
          <w:lang w:val="uk-UA"/>
        </w:rPr>
        <w:t>Для необхідності складання уточнюючого розрахунку за базовий тип розрахунку береться звітний – 011 або тип розрахунку звітний новий – 012, у разі, якщо була подана звітна нова Декларація.</w:t>
      </w:r>
    </w:p>
    <w:p w:rsidR="000E4962" w:rsidRPr="00246F45" w:rsidRDefault="000E4962" w:rsidP="00EC3070">
      <w:pPr>
        <w:pStyle w:val="rvps1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46F45">
        <w:rPr>
          <w:color w:val="000000" w:themeColor="text1"/>
          <w:sz w:val="28"/>
          <w:szCs w:val="28"/>
          <w:lang w:val="uk-UA"/>
        </w:rPr>
        <w:t xml:space="preserve">Зазначені </w:t>
      </w:r>
      <w:r w:rsidR="004716DE" w:rsidRPr="00246F45">
        <w:rPr>
          <w:color w:val="000000" w:themeColor="text1"/>
          <w:sz w:val="28"/>
          <w:szCs w:val="28"/>
          <w:lang w:val="uk-UA"/>
        </w:rPr>
        <w:t>два</w:t>
      </w:r>
      <w:r w:rsidRPr="00246F45">
        <w:rPr>
          <w:color w:val="000000" w:themeColor="text1"/>
          <w:sz w:val="28"/>
          <w:szCs w:val="28"/>
          <w:lang w:val="uk-UA"/>
        </w:rPr>
        <w:t xml:space="preserve"> </w:t>
      </w:r>
      <w:r w:rsidR="004716DE" w:rsidRPr="00246F45">
        <w:rPr>
          <w:color w:val="000000" w:themeColor="text1"/>
          <w:sz w:val="28"/>
          <w:szCs w:val="28"/>
          <w:lang w:val="uk-UA"/>
        </w:rPr>
        <w:t>рядки</w:t>
      </w:r>
      <w:r w:rsidRPr="00246F45">
        <w:rPr>
          <w:color w:val="000000" w:themeColor="text1"/>
          <w:sz w:val="28"/>
          <w:szCs w:val="28"/>
          <w:lang w:val="uk-UA"/>
        </w:rPr>
        <w:t xml:space="preserve"> повинні мати один порядковий номер, що відображається у графі 1 «№ з/п».   </w:t>
      </w:r>
    </w:p>
    <w:p w:rsidR="000E4962" w:rsidRPr="00246F45" w:rsidRDefault="000E4962" w:rsidP="00BA33B3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5D78A0" w:rsidRPr="00246F45" w:rsidRDefault="005D78A0" w:rsidP="005D78A0">
      <w:pPr>
        <w:pStyle w:val="a6"/>
        <w:ind w:firstLine="851"/>
        <w:jc w:val="both"/>
        <w:rPr>
          <w:color w:val="000000" w:themeColor="text1"/>
          <w:sz w:val="28"/>
          <w:szCs w:val="28"/>
        </w:rPr>
      </w:pPr>
      <w:r w:rsidRPr="00246F45">
        <w:rPr>
          <w:color w:val="000000" w:themeColor="text1"/>
          <w:sz w:val="28"/>
          <w:szCs w:val="28"/>
        </w:rPr>
        <w:t>3. У графі 2 «Тип розрахунку» зазначається код типу розрахунку суми особливого податку за біржовими та позабіржовими операціями з відчуження цінних паперів та операці</w:t>
      </w:r>
      <w:r w:rsidR="008B1177" w:rsidRPr="00246F45">
        <w:rPr>
          <w:color w:val="000000" w:themeColor="text1"/>
          <w:sz w:val="28"/>
          <w:szCs w:val="28"/>
        </w:rPr>
        <w:t>й</w:t>
      </w:r>
      <w:r w:rsidRPr="00246F45">
        <w:rPr>
          <w:color w:val="000000" w:themeColor="text1"/>
          <w:sz w:val="28"/>
          <w:szCs w:val="28"/>
        </w:rPr>
        <w:t xml:space="preserve"> з деривативами відповідно до таблиці «Типи розрахунку»</w:t>
      </w:r>
      <w:r w:rsidR="000D3209" w:rsidRPr="00246F45">
        <w:rPr>
          <w:color w:val="000000" w:themeColor="text1"/>
          <w:sz w:val="28"/>
          <w:szCs w:val="28"/>
        </w:rPr>
        <w:t xml:space="preserve"> </w:t>
      </w:r>
      <w:r w:rsidR="00422BE9">
        <w:rPr>
          <w:color w:val="000000" w:themeColor="text1"/>
          <w:sz w:val="28"/>
          <w:szCs w:val="28"/>
        </w:rPr>
        <w:t xml:space="preserve">пункту 2 </w:t>
      </w:r>
      <w:r w:rsidR="000D3209" w:rsidRPr="008E1CC1">
        <w:rPr>
          <w:color w:val="000000" w:themeColor="text1"/>
          <w:sz w:val="28"/>
          <w:szCs w:val="28"/>
        </w:rPr>
        <w:t>глави 4 розділу І цього Порядку</w:t>
      </w:r>
      <w:r w:rsidRPr="008E1CC1">
        <w:rPr>
          <w:color w:val="000000" w:themeColor="text1"/>
          <w:sz w:val="28"/>
          <w:szCs w:val="28"/>
        </w:rPr>
        <w:t>.</w:t>
      </w:r>
    </w:p>
    <w:p w:rsidR="005D78A0" w:rsidRPr="00246F45" w:rsidRDefault="005D78A0" w:rsidP="005D78A0">
      <w:pPr>
        <w:pStyle w:val="a6"/>
        <w:ind w:firstLine="851"/>
        <w:jc w:val="right"/>
        <w:rPr>
          <w:color w:val="000000" w:themeColor="text1"/>
          <w:sz w:val="28"/>
          <w:szCs w:val="28"/>
        </w:rPr>
      </w:pPr>
    </w:p>
    <w:p w:rsidR="00185CA5" w:rsidRPr="00246F45" w:rsidRDefault="00185CA5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4421" w:rsidRPr="00246F45" w:rsidRDefault="00EB4421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6B0AE4" w:rsidRPr="00246F45" w:rsidRDefault="006B0AE4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E4566" w:rsidRPr="00063820" w:rsidRDefault="008E4566" w:rsidP="008E4566">
      <w:pPr>
        <w:rPr>
          <w:sz w:val="28"/>
          <w:szCs w:val="28"/>
        </w:rPr>
      </w:pPr>
      <w:r w:rsidRPr="00063820">
        <w:rPr>
          <w:sz w:val="28"/>
          <w:szCs w:val="28"/>
        </w:rPr>
        <w:t xml:space="preserve">Директор Департаменту </w:t>
      </w:r>
    </w:p>
    <w:p w:rsidR="008E4566" w:rsidRPr="00063820" w:rsidRDefault="008E4566" w:rsidP="008E4566">
      <w:pPr>
        <w:rPr>
          <w:sz w:val="28"/>
          <w:szCs w:val="28"/>
        </w:rPr>
      </w:pPr>
      <w:r w:rsidRPr="00063820">
        <w:rPr>
          <w:sz w:val="28"/>
          <w:szCs w:val="28"/>
        </w:rPr>
        <w:t xml:space="preserve">податкового та митного аудиту                                                   С.Б. </w:t>
      </w:r>
      <w:proofErr w:type="spellStart"/>
      <w:r w:rsidRPr="00063820">
        <w:rPr>
          <w:sz w:val="28"/>
          <w:szCs w:val="28"/>
        </w:rPr>
        <w:t>Крухмальов</w:t>
      </w:r>
      <w:proofErr w:type="spellEnd"/>
      <w:r w:rsidRPr="00063820">
        <w:rPr>
          <w:sz w:val="28"/>
          <w:szCs w:val="28"/>
        </w:rPr>
        <w:t xml:space="preserve"> </w:t>
      </w:r>
    </w:p>
    <w:p w:rsidR="000E4962" w:rsidRPr="00246F45" w:rsidRDefault="000E4962" w:rsidP="00BA33B3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0E4962" w:rsidRPr="00246F45" w:rsidRDefault="000E4962" w:rsidP="00BA33B3">
      <w:pPr>
        <w:rPr>
          <w:color w:val="000000" w:themeColor="text1"/>
        </w:rPr>
      </w:pPr>
    </w:p>
    <w:p w:rsidR="000E4962" w:rsidRPr="00246F45" w:rsidRDefault="000E4962" w:rsidP="00BA33B3">
      <w:pPr>
        <w:rPr>
          <w:color w:val="000000" w:themeColor="text1"/>
        </w:rPr>
      </w:pPr>
    </w:p>
    <w:p w:rsidR="005D3ABE" w:rsidRPr="00246F45" w:rsidRDefault="005D3ABE" w:rsidP="00BA33B3">
      <w:pPr>
        <w:rPr>
          <w:color w:val="000000" w:themeColor="text1"/>
        </w:rPr>
      </w:pPr>
    </w:p>
    <w:p w:rsidR="004F7678" w:rsidRPr="00246F45" w:rsidRDefault="004F7678" w:rsidP="00BA33B3">
      <w:pPr>
        <w:rPr>
          <w:color w:val="000000" w:themeColor="text1"/>
        </w:rPr>
      </w:pPr>
    </w:p>
    <w:p w:rsidR="00206E59" w:rsidRPr="00246F45" w:rsidRDefault="00206E59" w:rsidP="00BA33B3">
      <w:pPr>
        <w:rPr>
          <w:color w:val="000000" w:themeColor="text1"/>
        </w:rPr>
      </w:pPr>
    </w:p>
    <w:p w:rsidR="00206E59" w:rsidRPr="00246F45" w:rsidRDefault="00206E59" w:rsidP="00BA33B3">
      <w:pPr>
        <w:rPr>
          <w:color w:val="000000" w:themeColor="text1"/>
        </w:rPr>
      </w:pPr>
    </w:p>
    <w:p w:rsidR="00406DE0" w:rsidRDefault="00406DE0" w:rsidP="00BA33B3">
      <w:pPr>
        <w:rPr>
          <w:color w:val="000000" w:themeColor="text1"/>
        </w:rPr>
      </w:pPr>
    </w:p>
    <w:p w:rsidR="00406DE0" w:rsidRDefault="00406DE0" w:rsidP="00BA33B3">
      <w:pPr>
        <w:rPr>
          <w:color w:val="000000" w:themeColor="text1"/>
        </w:rPr>
      </w:pPr>
    </w:p>
    <w:p w:rsidR="00406DE0" w:rsidRDefault="00406DE0" w:rsidP="00BA33B3">
      <w:pPr>
        <w:rPr>
          <w:color w:val="000000" w:themeColor="text1"/>
        </w:rPr>
      </w:pPr>
    </w:p>
    <w:p w:rsidR="00406DE0" w:rsidRDefault="00406DE0" w:rsidP="00BA33B3">
      <w:pPr>
        <w:rPr>
          <w:color w:val="000000" w:themeColor="text1"/>
        </w:rPr>
      </w:pPr>
    </w:p>
    <w:p w:rsidR="00406DE0" w:rsidRDefault="00406DE0" w:rsidP="00BA33B3">
      <w:pPr>
        <w:rPr>
          <w:color w:val="000000" w:themeColor="text1"/>
        </w:rPr>
      </w:pPr>
    </w:p>
    <w:p w:rsidR="00406DE0" w:rsidRDefault="00406DE0" w:rsidP="00BA33B3">
      <w:pPr>
        <w:rPr>
          <w:color w:val="000000" w:themeColor="text1"/>
        </w:rPr>
      </w:pPr>
    </w:p>
    <w:p w:rsidR="00406DE0" w:rsidRPr="00246F45" w:rsidRDefault="00406DE0" w:rsidP="00BA33B3">
      <w:pPr>
        <w:rPr>
          <w:color w:val="000000" w:themeColor="text1"/>
        </w:rPr>
      </w:pPr>
    </w:p>
    <w:p w:rsidR="00206E59" w:rsidRPr="00246F45" w:rsidRDefault="00206E59" w:rsidP="00BA33B3">
      <w:pPr>
        <w:rPr>
          <w:color w:val="000000" w:themeColor="text1"/>
        </w:rPr>
      </w:pPr>
    </w:p>
    <w:p w:rsidR="00206E59" w:rsidRPr="00246F45" w:rsidRDefault="00206E59" w:rsidP="00BA33B3">
      <w:pPr>
        <w:rPr>
          <w:color w:val="000000" w:themeColor="text1"/>
        </w:rPr>
      </w:pPr>
    </w:p>
    <w:p w:rsidR="00206E59" w:rsidRPr="00246F45" w:rsidRDefault="00206E59" w:rsidP="00BA33B3">
      <w:pPr>
        <w:rPr>
          <w:color w:val="000000" w:themeColor="text1"/>
        </w:rPr>
      </w:pPr>
    </w:p>
    <w:p w:rsidR="00206E59" w:rsidRPr="00246F45" w:rsidRDefault="00206E59" w:rsidP="00BA33B3">
      <w:pPr>
        <w:rPr>
          <w:color w:val="000000" w:themeColor="text1"/>
        </w:rPr>
      </w:pPr>
    </w:p>
    <w:sectPr w:rsidR="00206E59" w:rsidRPr="00246F45" w:rsidSect="00A34C47">
      <w:headerReference w:type="default" r:id="rId8"/>
      <w:pgSz w:w="11906" w:h="16838" w:code="9"/>
      <w:pgMar w:top="1134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B1" w:rsidRDefault="00B52BB1" w:rsidP="00682ED9">
      <w:r>
        <w:separator/>
      </w:r>
    </w:p>
  </w:endnote>
  <w:endnote w:type="continuationSeparator" w:id="0">
    <w:p w:rsidR="00B52BB1" w:rsidRDefault="00B52BB1" w:rsidP="0068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B1" w:rsidRDefault="00B52BB1" w:rsidP="00682ED9">
      <w:r>
        <w:separator/>
      </w:r>
    </w:p>
  </w:footnote>
  <w:footnote w:type="continuationSeparator" w:id="0">
    <w:p w:rsidR="00B52BB1" w:rsidRDefault="00B52BB1" w:rsidP="0068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47" w:rsidRDefault="00C972D7">
    <w:pPr>
      <w:pStyle w:val="a4"/>
      <w:jc w:val="center"/>
    </w:pPr>
    <w:r>
      <w:fldChar w:fldCharType="begin"/>
    </w:r>
    <w:r w:rsidR="00E870BF">
      <w:instrText xml:space="preserve"> PAGE   \* MERGEFORMAT </w:instrText>
    </w:r>
    <w:r>
      <w:fldChar w:fldCharType="separate"/>
    </w:r>
    <w:r w:rsidR="00ED1F2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28B"/>
    <w:multiLevelType w:val="hybridMultilevel"/>
    <w:tmpl w:val="BFB4DD1C"/>
    <w:lvl w:ilvl="0" w:tplc="EC540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E86D0D"/>
    <w:multiLevelType w:val="hybridMultilevel"/>
    <w:tmpl w:val="361E9C92"/>
    <w:lvl w:ilvl="0" w:tplc="43B01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9D170E"/>
    <w:multiLevelType w:val="hybridMultilevel"/>
    <w:tmpl w:val="5BA64B7C"/>
    <w:lvl w:ilvl="0" w:tplc="0672AD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962"/>
    <w:rsid w:val="0000330C"/>
    <w:rsid w:val="000108A2"/>
    <w:rsid w:val="00015CF8"/>
    <w:rsid w:val="00015EF4"/>
    <w:rsid w:val="000249D0"/>
    <w:rsid w:val="0002549E"/>
    <w:rsid w:val="00027383"/>
    <w:rsid w:val="00043533"/>
    <w:rsid w:val="000544D9"/>
    <w:rsid w:val="00063185"/>
    <w:rsid w:val="00066A61"/>
    <w:rsid w:val="00083BF6"/>
    <w:rsid w:val="00084147"/>
    <w:rsid w:val="0008486F"/>
    <w:rsid w:val="00084AB2"/>
    <w:rsid w:val="000859DE"/>
    <w:rsid w:val="00091215"/>
    <w:rsid w:val="00092BA7"/>
    <w:rsid w:val="00092C62"/>
    <w:rsid w:val="000A15E5"/>
    <w:rsid w:val="000A2312"/>
    <w:rsid w:val="000A4DE9"/>
    <w:rsid w:val="000A7E0B"/>
    <w:rsid w:val="000B1EAE"/>
    <w:rsid w:val="000B1FB2"/>
    <w:rsid w:val="000B462F"/>
    <w:rsid w:val="000C0ECB"/>
    <w:rsid w:val="000D3209"/>
    <w:rsid w:val="000D5E97"/>
    <w:rsid w:val="000E4962"/>
    <w:rsid w:val="000E531E"/>
    <w:rsid w:val="000F6EBB"/>
    <w:rsid w:val="001049F5"/>
    <w:rsid w:val="00111243"/>
    <w:rsid w:val="00111F04"/>
    <w:rsid w:val="0011662C"/>
    <w:rsid w:val="00131102"/>
    <w:rsid w:val="00131169"/>
    <w:rsid w:val="001312DE"/>
    <w:rsid w:val="00133E08"/>
    <w:rsid w:val="001365F8"/>
    <w:rsid w:val="0015539B"/>
    <w:rsid w:val="00156B47"/>
    <w:rsid w:val="00171FFB"/>
    <w:rsid w:val="00172438"/>
    <w:rsid w:val="00174D96"/>
    <w:rsid w:val="00185CA5"/>
    <w:rsid w:val="00192AFB"/>
    <w:rsid w:val="0019777B"/>
    <w:rsid w:val="001A2E0D"/>
    <w:rsid w:val="001B7F5B"/>
    <w:rsid w:val="001C2914"/>
    <w:rsid w:val="001C6226"/>
    <w:rsid w:val="001D5232"/>
    <w:rsid w:val="001F4A66"/>
    <w:rsid w:val="001F598F"/>
    <w:rsid w:val="002018AE"/>
    <w:rsid w:val="00206E59"/>
    <w:rsid w:val="0021324F"/>
    <w:rsid w:val="00214834"/>
    <w:rsid w:val="00222878"/>
    <w:rsid w:val="00222CCE"/>
    <w:rsid w:val="00234005"/>
    <w:rsid w:val="00237491"/>
    <w:rsid w:val="00241FCF"/>
    <w:rsid w:val="00246F45"/>
    <w:rsid w:val="002520D3"/>
    <w:rsid w:val="00256585"/>
    <w:rsid w:val="0026184C"/>
    <w:rsid w:val="002652B8"/>
    <w:rsid w:val="00276FBD"/>
    <w:rsid w:val="00277E43"/>
    <w:rsid w:val="00290982"/>
    <w:rsid w:val="0029245E"/>
    <w:rsid w:val="00293917"/>
    <w:rsid w:val="002951D4"/>
    <w:rsid w:val="00297764"/>
    <w:rsid w:val="002B1F60"/>
    <w:rsid w:val="002C7472"/>
    <w:rsid w:val="002D359C"/>
    <w:rsid w:val="002D5B53"/>
    <w:rsid w:val="002F2C05"/>
    <w:rsid w:val="002F2C0C"/>
    <w:rsid w:val="002F397D"/>
    <w:rsid w:val="00301A8C"/>
    <w:rsid w:val="0030355C"/>
    <w:rsid w:val="00303D9F"/>
    <w:rsid w:val="003068C6"/>
    <w:rsid w:val="00307306"/>
    <w:rsid w:val="00314208"/>
    <w:rsid w:val="003210E2"/>
    <w:rsid w:val="00321732"/>
    <w:rsid w:val="003278B7"/>
    <w:rsid w:val="00334B18"/>
    <w:rsid w:val="00335805"/>
    <w:rsid w:val="00335BAA"/>
    <w:rsid w:val="0035209B"/>
    <w:rsid w:val="00355CCC"/>
    <w:rsid w:val="003617CC"/>
    <w:rsid w:val="00364ECB"/>
    <w:rsid w:val="00365FEE"/>
    <w:rsid w:val="00367E2F"/>
    <w:rsid w:val="00370860"/>
    <w:rsid w:val="00371822"/>
    <w:rsid w:val="00373AA6"/>
    <w:rsid w:val="00374755"/>
    <w:rsid w:val="00375CEA"/>
    <w:rsid w:val="003810E2"/>
    <w:rsid w:val="00382494"/>
    <w:rsid w:val="00385DBC"/>
    <w:rsid w:val="0039717E"/>
    <w:rsid w:val="003A1690"/>
    <w:rsid w:val="003A1978"/>
    <w:rsid w:val="003A68DA"/>
    <w:rsid w:val="003A7CD4"/>
    <w:rsid w:val="003B2DF7"/>
    <w:rsid w:val="003B6E48"/>
    <w:rsid w:val="003C1880"/>
    <w:rsid w:val="003C53C5"/>
    <w:rsid w:val="003D25C3"/>
    <w:rsid w:val="003E4FE6"/>
    <w:rsid w:val="003F04B9"/>
    <w:rsid w:val="003F1679"/>
    <w:rsid w:val="00402667"/>
    <w:rsid w:val="004029FA"/>
    <w:rsid w:val="00405C9B"/>
    <w:rsid w:val="00406DE0"/>
    <w:rsid w:val="00414E18"/>
    <w:rsid w:val="00422BE9"/>
    <w:rsid w:val="00423F49"/>
    <w:rsid w:val="00427DFF"/>
    <w:rsid w:val="004469F9"/>
    <w:rsid w:val="00447A98"/>
    <w:rsid w:val="00453359"/>
    <w:rsid w:val="0045701B"/>
    <w:rsid w:val="00464240"/>
    <w:rsid w:val="004663BB"/>
    <w:rsid w:val="004716DE"/>
    <w:rsid w:val="00483C48"/>
    <w:rsid w:val="00492889"/>
    <w:rsid w:val="004A6206"/>
    <w:rsid w:val="004A73ED"/>
    <w:rsid w:val="004B7763"/>
    <w:rsid w:val="004C4DE9"/>
    <w:rsid w:val="004C7F97"/>
    <w:rsid w:val="004D5E75"/>
    <w:rsid w:val="004F3582"/>
    <w:rsid w:val="004F425D"/>
    <w:rsid w:val="004F7678"/>
    <w:rsid w:val="00521409"/>
    <w:rsid w:val="00532FF5"/>
    <w:rsid w:val="005503BF"/>
    <w:rsid w:val="00550E16"/>
    <w:rsid w:val="00554D25"/>
    <w:rsid w:val="00560C73"/>
    <w:rsid w:val="00560ED0"/>
    <w:rsid w:val="0056477C"/>
    <w:rsid w:val="005714E4"/>
    <w:rsid w:val="00575230"/>
    <w:rsid w:val="0058509D"/>
    <w:rsid w:val="00587A4A"/>
    <w:rsid w:val="00593DEF"/>
    <w:rsid w:val="005A278B"/>
    <w:rsid w:val="005A53B4"/>
    <w:rsid w:val="005B0180"/>
    <w:rsid w:val="005B09C2"/>
    <w:rsid w:val="005B164A"/>
    <w:rsid w:val="005B517C"/>
    <w:rsid w:val="005C5D6C"/>
    <w:rsid w:val="005D14D6"/>
    <w:rsid w:val="005D288E"/>
    <w:rsid w:val="005D3ABE"/>
    <w:rsid w:val="005D4E80"/>
    <w:rsid w:val="005D78A0"/>
    <w:rsid w:val="005E373F"/>
    <w:rsid w:val="005E4056"/>
    <w:rsid w:val="005F1175"/>
    <w:rsid w:val="005F5C40"/>
    <w:rsid w:val="005F61CC"/>
    <w:rsid w:val="005F726B"/>
    <w:rsid w:val="006057EC"/>
    <w:rsid w:val="00612A00"/>
    <w:rsid w:val="00615E5A"/>
    <w:rsid w:val="0062179A"/>
    <w:rsid w:val="00646A92"/>
    <w:rsid w:val="00651AAB"/>
    <w:rsid w:val="00655A53"/>
    <w:rsid w:val="00656F03"/>
    <w:rsid w:val="00657DCC"/>
    <w:rsid w:val="006605CA"/>
    <w:rsid w:val="00665798"/>
    <w:rsid w:val="00667F41"/>
    <w:rsid w:val="00672E84"/>
    <w:rsid w:val="00682ED9"/>
    <w:rsid w:val="00695333"/>
    <w:rsid w:val="00697E2B"/>
    <w:rsid w:val="006B0AE4"/>
    <w:rsid w:val="006C2E41"/>
    <w:rsid w:val="006C7583"/>
    <w:rsid w:val="006E3480"/>
    <w:rsid w:val="006E74BB"/>
    <w:rsid w:val="007031D6"/>
    <w:rsid w:val="00714AE3"/>
    <w:rsid w:val="00715649"/>
    <w:rsid w:val="00725390"/>
    <w:rsid w:val="007267DF"/>
    <w:rsid w:val="007362FB"/>
    <w:rsid w:val="00747DCA"/>
    <w:rsid w:val="007552AF"/>
    <w:rsid w:val="00755511"/>
    <w:rsid w:val="00755B73"/>
    <w:rsid w:val="0075743B"/>
    <w:rsid w:val="0076380C"/>
    <w:rsid w:val="0077618C"/>
    <w:rsid w:val="00780B7B"/>
    <w:rsid w:val="00782498"/>
    <w:rsid w:val="0079003A"/>
    <w:rsid w:val="00791A11"/>
    <w:rsid w:val="007A3758"/>
    <w:rsid w:val="007A402C"/>
    <w:rsid w:val="007C2C21"/>
    <w:rsid w:val="007C7EE4"/>
    <w:rsid w:val="007C7FED"/>
    <w:rsid w:val="007E5249"/>
    <w:rsid w:val="007F27FD"/>
    <w:rsid w:val="007F65EF"/>
    <w:rsid w:val="0080686B"/>
    <w:rsid w:val="00813AF0"/>
    <w:rsid w:val="00816814"/>
    <w:rsid w:val="00825603"/>
    <w:rsid w:val="00833194"/>
    <w:rsid w:val="00833CD4"/>
    <w:rsid w:val="008418CD"/>
    <w:rsid w:val="0085029F"/>
    <w:rsid w:val="008578BB"/>
    <w:rsid w:val="00861011"/>
    <w:rsid w:val="00863101"/>
    <w:rsid w:val="008712A3"/>
    <w:rsid w:val="00891819"/>
    <w:rsid w:val="008952A8"/>
    <w:rsid w:val="008B04B5"/>
    <w:rsid w:val="008B0FFB"/>
    <w:rsid w:val="008B1177"/>
    <w:rsid w:val="008B7043"/>
    <w:rsid w:val="008C3F36"/>
    <w:rsid w:val="008C4A6C"/>
    <w:rsid w:val="008C4AC3"/>
    <w:rsid w:val="008D1D0A"/>
    <w:rsid w:val="008D24B6"/>
    <w:rsid w:val="008D324D"/>
    <w:rsid w:val="008D41D2"/>
    <w:rsid w:val="008D4902"/>
    <w:rsid w:val="008E186E"/>
    <w:rsid w:val="008E1CAC"/>
    <w:rsid w:val="008E1CC1"/>
    <w:rsid w:val="008E4566"/>
    <w:rsid w:val="008E7599"/>
    <w:rsid w:val="008F1FF8"/>
    <w:rsid w:val="008F4CD2"/>
    <w:rsid w:val="008F69E6"/>
    <w:rsid w:val="008F7B0F"/>
    <w:rsid w:val="00903C6B"/>
    <w:rsid w:val="00911044"/>
    <w:rsid w:val="009134AE"/>
    <w:rsid w:val="00916434"/>
    <w:rsid w:val="009244B5"/>
    <w:rsid w:val="00925B19"/>
    <w:rsid w:val="00940128"/>
    <w:rsid w:val="00941C32"/>
    <w:rsid w:val="00943525"/>
    <w:rsid w:val="00950534"/>
    <w:rsid w:val="009625CC"/>
    <w:rsid w:val="00965079"/>
    <w:rsid w:val="0097160F"/>
    <w:rsid w:val="00971955"/>
    <w:rsid w:val="0098124B"/>
    <w:rsid w:val="009821BD"/>
    <w:rsid w:val="00993441"/>
    <w:rsid w:val="009937DA"/>
    <w:rsid w:val="0099454E"/>
    <w:rsid w:val="009959EB"/>
    <w:rsid w:val="00995CB5"/>
    <w:rsid w:val="009A21D1"/>
    <w:rsid w:val="009B0B09"/>
    <w:rsid w:val="009B0F74"/>
    <w:rsid w:val="009B1012"/>
    <w:rsid w:val="009B6A6F"/>
    <w:rsid w:val="009D590F"/>
    <w:rsid w:val="009E18B7"/>
    <w:rsid w:val="009E2CCF"/>
    <w:rsid w:val="009E640D"/>
    <w:rsid w:val="00A04841"/>
    <w:rsid w:val="00A059FB"/>
    <w:rsid w:val="00A1127B"/>
    <w:rsid w:val="00A118F4"/>
    <w:rsid w:val="00A120CC"/>
    <w:rsid w:val="00A14C74"/>
    <w:rsid w:val="00A16F6E"/>
    <w:rsid w:val="00A24768"/>
    <w:rsid w:val="00A3142B"/>
    <w:rsid w:val="00A35A96"/>
    <w:rsid w:val="00A37F84"/>
    <w:rsid w:val="00A41AF7"/>
    <w:rsid w:val="00A658D7"/>
    <w:rsid w:val="00A666CA"/>
    <w:rsid w:val="00A66B7B"/>
    <w:rsid w:val="00A773D2"/>
    <w:rsid w:val="00A85624"/>
    <w:rsid w:val="00A925A0"/>
    <w:rsid w:val="00A93798"/>
    <w:rsid w:val="00A959A8"/>
    <w:rsid w:val="00AA5773"/>
    <w:rsid w:val="00AB5D5F"/>
    <w:rsid w:val="00AB65EA"/>
    <w:rsid w:val="00AC0944"/>
    <w:rsid w:val="00AC3ED5"/>
    <w:rsid w:val="00AD3E18"/>
    <w:rsid w:val="00AD59E3"/>
    <w:rsid w:val="00AE7ED3"/>
    <w:rsid w:val="00AF34DA"/>
    <w:rsid w:val="00AF428B"/>
    <w:rsid w:val="00AF6005"/>
    <w:rsid w:val="00B013DE"/>
    <w:rsid w:val="00B04232"/>
    <w:rsid w:val="00B052D3"/>
    <w:rsid w:val="00B07F2E"/>
    <w:rsid w:val="00B2047D"/>
    <w:rsid w:val="00B21149"/>
    <w:rsid w:val="00B52BB1"/>
    <w:rsid w:val="00B54F1A"/>
    <w:rsid w:val="00B65B95"/>
    <w:rsid w:val="00B701E8"/>
    <w:rsid w:val="00B704AC"/>
    <w:rsid w:val="00B85E39"/>
    <w:rsid w:val="00B86BD1"/>
    <w:rsid w:val="00B941D4"/>
    <w:rsid w:val="00BA33B3"/>
    <w:rsid w:val="00BD09FE"/>
    <w:rsid w:val="00BD3BAD"/>
    <w:rsid w:val="00BD6F2D"/>
    <w:rsid w:val="00BE1141"/>
    <w:rsid w:val="00BF627E"/>
    <w:rsid w:val="00BF6D57"/>
    <w:rsid w:val="00C04334"/>
    <w:rsid w:val="00C11C61"/>
    <w:rsid w:val="00C14DAA"/>
    <w:rsid w:val="00C17CB5"/>
    <w:rsid w:val="00C22885"/>
    <w:rsid w:val="00C2725D"/>
    <w:rsid w:val="00C30FDD"/>
    <w:rsid w:val="00C4587C"/>
    <w:rsid w:val="00C53197"/>
    <w:rsid w:val="00C5381B"/>
    <w:rsid w:val="00C5419A"/>
    <w:rsid w:val="00C705E7"/>
    <w:rsid w:val="00C76BE0"/>
    <w:rsid w:val="00C804CE"/>
    <w:rsid w:val="00C8272F"/>
    <w:rsid w:val="00C840B9"/>
    <w:rsid w:val="00C845C1"/>
    <w:rsid w:val="00C87B0D"/>
    <w:rsid w:val="00C92811"/>
    <w:rsid w:val="00C960DA"/>
    <w:rsid w:val="00C972D7"/>
    <w:rsid w:val="00C97E83"/>
    <w:rsid w:val="00CA1093"/>
    <w:rsid w:val="00CA2272"/>
    <w:rsid w:val="00CA2E71"/>
    <w:rsid w:val="00CA6837"/>
    <w:rsid w:val="00CA7577"/>
    <w:rsid w:val="00CB136D"/>
    <w:rsid w:val="00CB4610"/>
    <w:rsid w:val="00CC169A"/>
    <w:rsid w:val="00CC56D5"/>
    <w:rsid w:val="00CD2476"/>
    <w:rsid w:val="00CD6677"/>
    <w:rsid w:val="00CE1EDC"/>
    <w:rsid w:val="00CE71EC"/>
    <w:rsid w:val="00D12A6A"/>
    <w:rsid w:val="00D14FA8"/>
    <w:rsid w:val="00D152C7"/>
    <w:rsid w:val="00D21369"/>
    <w:rsid w:val="00D27D65"/>
    <w:rsid w:val="00D33F60"/>
    <w:rsid w:val="00D403B9"/>
    <w:rsid w:val="00D50493"/>
    <w:rsid w:val="00D5553E"/>
    <w:rsid w:val="00D57EFC"/>
    <w:rsid w:val="00D60533"/>
    <w:rsid w:val="00D76B0E"/>
    <w:rsid w:val="00D8604A"/>
    <w:rsid w:val="00D878BB"/>
    <w:rsid w:val="00D9091E"/>
    <w:rsid w:val="00D947C2"/>
    <w:rsid w:val="00D959AF"/>
    <w:rsid w:val="00DA246D"/>
    <w:rsid w:val="00DB0868"/>
    <w:rsid w:val="00DB170F"/>
    <w:rsid w:val="00DB1DC7"/>
    <w:rsid w:val="00DB34BC"/>
    <w:rsid w:val="00DC3962"/>
    <w:rsid w:val="00DE423B"/>
    <w:rsid w:val="00DF592B"/>
    <w:rsid w:val="00E14E27"/>
    <w:rsid w:val="00E240C2"/>
    <w:rsid w:val="00E37121"/>
    <w:rsid w:val="00E42F10"/>
    <w:rsid w:val="00E43ACE"/>
    <w:rsid w:val="00E44480"/>
    <w:rsid w:val="00E46DDF"/>
    <w:rsid w:val="00E4748B"/>
    <w:rsid w:val="00E57061"/>
    <w:rsid w:val="00E64328"/>
    <w:rsid w:val="00E66BE2"/>
    <w:rsid w:val="00E70591"/>
    <w:rsid w:val="00E71AE0"/>
    <w:rsid w:val="00E76EB7"/>
    <w:rsid w:val="00E8540E"/>
    <w:rsid w:val="00E870BF"/>
    <w:rsid w:val="00E91EBC"/>
    <w:rsid w:val="00E92645"/>
    <w:rsid w:val="00E9328C"/>
    <w:rsid w:val="00EA23AE"/>
    <w:rsid w:val="00EA313B"/>
    <w:rsid w:val="00EA6473"/>
    <w:rsid w:val="00EB4421"/>
    <w:rsid w:val="00EB6827"/>
    <w:rsid w:val="00EB6878"/>
    <w:rsid w:val="00EC3070"/>
    <w:rsid w:val="00EC79C9"/>
    <w:rsid w:val="00ED1F2F"/>
    <w:rsid w:val="00ED398B"/>
    <w:rsid w:val="00ED4989"/>
    <w:rsid w:val="00ED60F9"/>
    <w:rsid w:val="00EE05F8"/>
    <w:rsid w:val="00EE10DB"/>
    <w:rsid w:val="00EE272B"/>
    <w:rsid w:val="00EF0A7C"/>
    <w:rsid w:val="00EF3EAF"/>
    <w:rsid w:val="00EF6A42"/>
    <w:rsid w:val="00F068A3"/>
    <w:rsid w:val="00F076A4"/>
    <w:rsid w:val="00F119B1"/>
    <w:rsid w:val="00F12C52"/>
    <w:rsid w:val="00F1707E"/>
    <w:rsid w:val="00F23648"/>
    <w:rsid w:val="00F26F44"/>
    <w:rsid w:val="00F3609F"/>
    <w:rsid w:val="00F37F94"/>
    <w:rsid w:val="00F4672D"/>
    <w:rsid w:val="00F5133D"/>
    <w:rsid w:val="00F63428"/>
    <w:rsid w:val="00F67CBF"/>
    <w:rsid w:val="00F76263"/>
    <w:rsid w:val="00F8085B"/>
    <w:rsid w:val="00F80E20"/>
    <w:rsid w:val="00F81F17"/>
    <w:rsid w:val="00F84A9B"/>
    <w:rsid w:val="00F94E2D"/>
    <w:rsid w:val="00F9582C"/>
    <w:rsid w:val="00F95A2B"/>
    <w:rsid w:val="00FA0EAF"/>
    <w:rsid w:val="00FA3202"/>
    <w:rsid w:val="00FA49F4"/>
    <w:rsid w:val="00FA4D74"/>
    <w:rsid w:val="00FB0C63"/>
    <w:rsid w:val="00FD33DD"/>
    <w:rsid w:val="00FD3857"/>
    <w:rsid w:val="00FE090C"/>
    <w:rsid w:val="00FF3A20"/>
    <w:rsid w:val="00FF427A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0E4962"/>
  </w:style>
  <w:style w:type="paragraph" w:customStyle="1" w:styleId="rvps2">
    <w:name w:val="rvps2"/>
    <w:basedOn w:val="a"/>
    <w:rsid w:val="000E4962"/>
    <w:pPr>
      <w:spacing w:before="100" w:beforeAutospacing="1" w:after="100" w:afterAutospacing="1"/>
    </w:pPr>
    <w:rPr>
      <w:lang w:val="ru-RU"/>
    </w:rPr>
  </w:style>
  <w:style w:type="character" w:styleId="a3">
    <w:name w:val="Hyperlink"/>
    <w:basedOn w:val="a0"/>
    <w:rsid w:val="000E4962"/>
    <w:rPr>
      <w:color w:val="0000FF"/>
      <w:u w:val="single"/>
    </w:rPr>
  </w:style>
  <w:style w:type="character" w:customStyle="1" w:styleId="rvts0">
    <w:name w:val="rvts0"/>
    <w:basedOn w:val="a0"/>
    <w:rsid w:val="000E4962"/>
  </w:style>
  <w:style w:type="paragraph" w:customStyle="1" w:styleId="rvps14">
    <w:name w:val="rvps14"/>
    <w:basedOn w:val="a"/>
    <w:rsid w:val="000E4962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basedOn w:val="a0"/>
    <w:rsid w:val="000E4962"/>
  </w:style>
  <w:style w:type="paragraph" w:styleId="a4">
    <w:name w:val="header"/>
    <w:basedOn w:val="a"/>
    <w:link w:val="a5"/>
    <w:uiPriority w:val="99"/>
    <w:rsid w:val="000E4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9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 Spacing"/>
    <w:qFormat/>
    <w:rsid w:val="000E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basedOn w:val="a0"/>
    <w:rsid w:val="000E4962"/>
  </w:style>
  <w:style w:type="character" w:customStyle="1" w:styleId="rvts9">
    <w:name w:val="rvts9"/>
    <w:basedOn w:val="a0"/>
    <w:rsid w:val="000E4962"/>
  </w:style>
  <w:style w:type="paragraph" w:styleId="a7">
    <w:name w:val="List Paragraph"/>
    <w:basedOn w:val="a"/>
    <w:uiPriority w:val="34"/>
    <w:qFormat/>
    <w:rsid w:val="000E4962"/>
    <w:pPr>
      <w:ind w:left="708"/>
    </w:pPr>
  </w:style>
  <w:style w:type="paragraph" w:styleId="a8">
    <w:name w:val="footer"/>
    <w:basedOn w:val="a"/>
    <w:link w:val="a9"/>
    <w:uiPriority w:val="99"/>
    <w:semiHidden/>
    <w:unhideWhenUsed/>
    <w:rsid w:val="00657D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7DC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D9A3-17D5-4E4E-9BE2-579D2018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475</cp:revision>
  <cp:lastPrinted>2013-08-14T09:02:00Z</cp:lastPrinted>
  <dcterms:created xsi:type="dcterms:W3CDTF">2013-07-15T06:50:00Z</dcterms:created>
  <dcterms:modified xsi:type="dcterms:W3CDTF">2013-08-15T06:45:00Z</dcterms:modified>
</cp:coreProperties>
</file>